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A979" w14:textId="09BB9064" w:rsidR="00A50846" w:rsidRPr="00BB450C" w:rsidRDefault="00304C05" w:rsidP="00872162">
      <w:pPr>
        <w:spacing w:line="480" w:lineRule="auto"/>
        <w:ind w:left="360"/>
        <w:jc w:val="center"/>
        <w:rPr>
          <w:b/>
          <w:bCs/>
          <w:color w:val="000000" w:themeColor="text1"/>
        </w:rPr>
      </w:pPr>
      <w:r>
        <w:rPr>
          <w:b/>
          <w:bCs/>
          <w:color w:val="000000" w:themeColor="text1"/>
        </w:rPr>
        <w:t xml:space="preserve">ONLINE </w:t>
      </w:r>
      <w:r w:rsidR="002C3AD9" w:rsidRPr="00BB450C">
        <w:rPr>
          <w:b/>
          <w:bCs/>
          <w:color w:val="000000" w:themeColor="text1"/>
        </w:rPr>
        <w:t>SUPPLEMENTARY FILE</w:t>
      </w:r>
      <w:r>
        <w:rPr>
          <w:b/>
          <w:bCs/>
          <w:color w:val="000000" w:themeColor="text1"/>
        </w:rPr>
        <w:t xml:space="preserve"> B</w:t>
      </w:r>
    </w:p>
    <w:p w14:paraId="054A19A7" w14:textId="77777777" w:rsidR="00DA401E" w:rsidRDefault="00FD0560" w:rsidP="00DA401E">
      <w:pPr>
        <w:spacing w:line="480" w:lineRule="auto"/>
        <w:jc w:val="center"/>
        <w:rPr>
          <w:b/>
          <w:bCs/>
          <w:color w:val="000000" w:themeColor="text1"/>
        </w:rPr>
      </w:pPr>
      <w:r w:rsidRPr="00BB450C">
        <w:rPr>
          <w:b/>
          <w:bCs/>
          <w:color w:val="000000" w:themeColor="text1"/>
        </w:rPr>
        <w:t>Study 2 Supplementary Analyses</w:t>
      </w:r>
    </w:p>
    <w:p w14:paraId="3F5C2994" w14:textId="4B61E2E4" w:rsidR="00DF5E5B" w:rsidRPr="00BB450C" w:rsidRDefault="00DF5E5B" w:rsidP="00DA401E">
      <w:pPr>
        <w:spacing w:line="480" w:lineRule="auto"/>
        <w:rPr>
          <w:b/>
          <w:bCs/>
          <w:color w:val="000000" w:themeColor="text1"/>
        </w:rPr>
      </w:pPr>
      <w:r w:rsidRPr="00BB450C">
        <w:rPr>
          <w:b/>
          <w:bCs/>
          <w:color w:val="000000" w:themeColor="text1"/>
        </w:rPr>
        <w:t>Testing Assumptions: Personal Life vs. Family Activities</w:t>
      </w:r>
    </w:p>
    <w:p w14:paraId="4DB3FBF7" w14:textId="1475DE59" w:rsidR="00DF5E5B" w:rsidRPr="00BB450C" w:rsidRDefault="00DF5E5B" w:rsidP="00872162">
      <w:pPr>
        <w:spacing w:line="480" w:lineRule="auto"/>
        <w:rPr>
          <w:bCs/>
          <w:color w:val="000000" w:themeColor="text1"/>
        </w:rPr>
      </w:pPr>
      <w:r w:rsidRPr="00BB450C">
        <w:rPr>
          <w:b/>
          <w:color w:val="000000" w:themeColor="text1"/>
        </w:rPr>
        <w:tab/>
      </w:r>
      <w:r w:rsidRPr="00BB450C">
        <w:rPr>
          <w:bCs/>
          <w:color w:val="000000" w:themeColor="text1"/>
        </w:rPr>
        <w:t xml:space="preserve">Based on </w:t>
      </w:r>
      <w:r w:rsidR="003E7BC3">
        <w:rPr>
          <w:bCs/>
          <w:color w:val="000000" w:themeColor="text1"/>
        </w:rPr>
        <w:t>feedback from anonymous reviewers</w:t>
      </w:r>
      <w:r w:rsidRPr="00BB450C">
        <w:rPr>
          <w:bCs/>
          <w:color w:val="000000" w:themeColor="text1"/>
        </w:rPr>
        <w:t xml:space="preserve">, we incorporated additional measures in </w:t>
      </w:r>
      <w:r w:rsidR="00844E61">
        <w:rPr>
          <w:bCs/>
          <w:color w:val="000000" w:themeColor="text1"/>
        </w:rPr>
        <w:t>our second study</w:t>
      </w:r>
      <w:r w:rsidRPr="00BB450C">
        <w:rPr>
          <w:bCs/>
          <w:color w:val="000000" w:themeColor="text1"/>
        </w:rPr>
        <w:t xml:space="preserve"> and conducted supplementary analyses to address questions regarding assumptions underlying the definition of personal life activities</w:t>
      </w:r>
      <w:r w:rsidR="00580A0D">
        <w:rPr>
          <w:bCs/>
          <w:color w:val="000000" w:themeColor="text1"/>
        </w:rPr>
        <w:t xml:space="preserve"> we adopted from Wilson and Baumann (2015)</w:t>
      </w:r>
      <w:r w:rsidRPr="00BB450C">
        <w:rPr>
          <w:bCs/>
          <w:color w:val="000000" w:themeColor="text1"/>
        </w:rPr>
        <w:t>. We sought to provide direct evidence that would substantiate the untested characteristics of personal life activities (vs. family) such as being driven more by personal interest and engagement inherently having a greater sense of discretion</w:t>
      </w:r>
      <w:r w:rsidR="00A2173C">
        <w:rPr>
          <w:bCs/>
          <w:color w:val="000000" w:themeColor="text1"/>
        </w:rPr>
        <w:t>/</w:t>
      </w:r>
      <w:r w:rsidRPr="00BB450C">
        <w:rPr>
          <w:bCs/>
          <w:color w:val="000000" w:themeColor="text1"/>
        </w:rPr>
        <w:t xml:space="preserve">control. We </w:t>
      </w:r>
      <w:r w:rsidR="00A7723C">
        <w:rPr>
          <w:bCs/>
          <w:color w:val="000000" w:themeColor="text1"/>
        </w:rPr>
        <w:t>collected</w:t>
      </w:r>
      <w:r w:rsidRPr="00BB450C">
        <w:rPr>
          <w:bCs/>
          <w:color w:val="000000" w:themeColor="text1"/>
        </w:rPr>
        <w:t xml:space="preserve"> four-item perceptual measures for both personal interest (</w:t>
      </w:r>
      <w:r w:rsidRPr="00BB450C">
        <w:rPr>
          <w:bCs/>
          <w:i/>
          <w:iCs/>
          <w:color w:val="000000" w:themeColor="text1"/>
        </w:rPr>
        <w:sym w:font="Symbol" w:char="F061"/>
      </w:r>
      <w:r w:rsidRPr="00BB450C">
        <w:rPr>
          <w:bCs/>
          <w:color w:val="000000" w:themeColor="text1"/>
        </w:rPr>
        <w:t xml:space="preserve"> = .82; Brown &amp; Baer, 2015) and discretion (</w:t>
      </w:r>
      <w:r w:rsidRPr="00BB450C">
        <w:rPr>
          <w:bCs/>
          <w:i/>
          <w:iCs/>
          <w:color w:val="000000" w:themeColor="text1"/>
        </w:rPr>
        <w:sym w:font="Symbol" w:char="F061"/>
      </w:r>
      <w:r w:rsidRPr="00BB450C">
        <w:rPr>
          <w:bCs/>
          <w:color w:val="000000" w:themeColor="text1"/>
        </w:rPr>
        <w:t xml:space="preserve"> = .87; </w:t>
      </w:r>
      <w:proofErr w:type="spellStart"/>
      <w:r w:rsidRPr="00BB450C">
        <w:rPr>
          <w:bCs/>
          <w:color w:val="000000" w:themeColor="text1"/>
        </w:rPr>
        <w:t>Sonnentag</w:t>
      </w:r>
      <w:proofErr w:type="spellEnd"/>
      <w:r w:rsidRPr="00BB450C">
        <w:rPr>
          <w:bCs/>
          <w:color w:val="000000" w:themeColor="text1"/>
        </w:rPr>
        <w:t xml:space="preserve"> &amp; Fritz, 2007) for family activities and personal life activities</w:t>
      </w:r>
      <w:r w:rsidR="00F71D3C">
        <w:rPr>
          <w:bCs/>
          <w:color w:val="000000" w:themeColor="text1"/>
        </w:rPr>
        <w:t xml:space="preserve"> separately</w:t>
      </w:r>
      <w:r w:rsidRPr="00BB450C">
        <w:rPr>
          <w:bCs/>
          <w:color w:val="000000" w:themeColor="text1"/>
        </w:rPr>
        <w:t xml:space="preserve">. In the entire wave 1 sample, we used paired-samples </w:t>
      </w:r>
      <w:r w:rsidRPr="00BB450C">
        <w:rPr>
          <w:bCs/>
          <w:i/>
          <w:color w:val="000000" w:themeColor="text1"/>
        </w:rPr>
        <w:t>t</w:t>
      </w:r>
      <w:r w:rsidRPr="00BB450C">
        <w:rPr>
          <w:bCs/>
          <w:color w:val="000000" w:themeColor="text1"/>
        </w:rPr>
        <w:t>-tests to compare the differences in perceived intrinsic interest in activities; family (</w:t>
      </w:r>
      <w:r w:rsidRPr="00BB450C">
        <w:rPr>
          <w:bCs/>
          <w:i/>
          <w:iCs/>
          <w:color w:val="000000" w:themeColor="text1"/>
        </w:rPr>
        <w:t>M</w:t>
      </w:r>
      <w:r w:rsidRPr="00BB450C">
        <w:rPr>
          <w:bCs/>
          <w:color w:val="000000" w:themeColor="text1"/>
        </w:rPr>
        <w:t xml:space="preserve"> = 3.97, </w:t>
      </w:r>
      <w:r w:rsidRPr="00BB450C">
        <w:rPr>
          <w:bCs/>
          <w:i/>
          <w:iCs/>
          <w:color w:val="000000" w:themeColor="text1"/>
        </w:rPr>
        <w:t>SD</w:t>
      </w:r>
      <w:r w:rsidRPr="00BB450C">
        <w:rPr>
          <w:bCs/>
          <w:color w:val="000000" w:themeColor="text1"/>
        </w:rPr>
        <w:t xml:space="preserve"> = .67) was rated significantly lower than personal life activities (</w:t>
      </w:r>
      <w:r w:rsidRPr="00BB450C">
        <w:rPr>
          <w:bCs/>
          <w:i/>
          <w:iCs/>
          <w:color w:val="000000" w:themeColor="text1"/>
        </w:rPr>
        <w:t>M</w:t>
      </w:r>
      <w:r w:rsidRPr="00BB450C">
        <w:rPr>
          <w:bCs/>
          <w:color w:val="000000" w:themeColor="text1"/>
        </w:rPr>
        <w:t xml:space="preserve"> = 4.07, </w:t>
      </w:r>
      <w:r w:rsidRPr="00BB450C">
        <w:rPr>
          <w:bCs/>
          <w:i/>
          <w:iCs/>
          <w:color w:val="000000" w:themeColor="text1"/>
        </w:rPr>
        <w:t>SD</w:t>
      </w:r>
      <w:r w:rsidRPr="00BB450C">
        <w:rPr>
          <w:bCs/>
          <w:color w:val="000000" w:themeColor="text1"/>
        </w:rPr>
        <w:t xml:space="preserve"> = .63), </w:t>
      </w:r>
      <w:proofErr w:type="gramStart"/>
      <w:r w:rsidRPr="00BB450C">
        <w:rPr>
          <w:bCs/>
          <w:i/>
          <w:iCs/>
          <w:color w:val="000000" w:themeColor="text1"/>
        </w:rPr>
        <w:t>t</w:t>
      </w:r>
      <w:r w:rsidRPr="00BB450C">
        <w:rPr>
          <w:bCs/>
          <w:color w:val="000000" w:themeColor="text1"/>
        </w:rPr>
        <w:t>(</w:t>
      </w:r>
      <w:proofErr w:type="gramEnd"/>
      <w:r w:rsidRPr="00BB450C">
        <w:rPr>
          <w:bCs/>
          <w:color w:val="000000" w:themeColor="text1"/>
        </w:rPr>
        <w:t xml:space="preserve">813) = -4.51, </w:t>
      </w:r>
      <w:r w:rsidRPr="00BB450C">
        <w:rPr>
          <w:bCs/>
          <w:i/>
          <w:iCs/>
          <w:color w:val="000000" w:themeColor="text1"/>
        </w:rPr>
        <w:t>p</w:t>
      </w:r>
      <w:r w:rsidRPr="00BB450C">
        <w:rPr>
          <w:bCs/>
          <w:color w:val="000000" w:themeColor="text1"/>
        </w:rPr>
        <w:t xml:space="preserve"> &lt; .001, Cohen’s </w:t>
      </w:r>
      <w:r w:rsidRPr="00BB450C">
        <w:rPr>
          <w:bCs/>
          <w:i/>
          <w:iCs/>
          <w:color w:val="000000" w:themeColor="text1"/>
        </w:rPr>
        <w:t>d</w:t>
      </w:r>
      <w:r w:rsidRPr="00BB450C">
        <w:rPr>
          <w:bCs/>
          <w:color w:val="000000" w:themeColor="text1"/>
        </w:rPr>
        <w:t xml:space="preserve"> = .1</w:t>
      </w:r>
      <w:r w:rsidR="00FB39BF">
        <w:rPr>
          <w:bCs/>
          <w:color w:val="000000" w:themeColor="text1"/>
        </w:rPr>
        <w:t>5</w:t>
      </w:r>
      <w:r w:rsidRPr="00BB450C">
        <w:rPr>
          <w:bCs/>
          <w:color w:val="000000" w:themeColor="text1"/>
        </w:rPr>
        <w:t>. Similarly, perceived discretion over one’s activities was significantly lower for family (</w:t>
      </w:r>
      <w:r w:rsidRPr="00BB450C">
        <w:rPr>
          <w:bCs/>
          <w:i/>
          <w:iCs/>
          <w:color w:val="000000" w:themeColor="text1"/>
        </w:rPr>
        <w:t>M</w:t>
      </w:r>
      <w:r w:rsidRPr="00BB450C">
        <w:rPr>
          <w:bCs/>
          <w:color w:val="000000" w:themeColor="text1"/>
        </w:rPr>
        <w:t xml:space="preserve"> = 3.99, </w:t>
      </w:r>
      <w:r w:rsidRPr="00BB450C">
        <w:rPr>
          <w:bCs/>
          <w:i/>
          <w:iCs/>
          <w:color w:val="000000" w:themeColor="text1"/>
        </w:rPr>
        <w:t>SD</w:t>
      </w:r>
      <w:r w:rsidRPr="00BB450C">
        <w:rPr>
          <w:bCs/>
          <w:color w:val="000000" w:themeColor="text1"/>
        </w:rPr>
        <w:t xml:space="preserve"> = .71) than personal life activities (</w:t>
      </w:r>
      <w:r w:rsidRPr="00BB450C">
        <w:rPr>
          <w:bCs/>
          <w:i/>
          <w:iCs/>
          <w:color w:val="000000" w:themeColor="text1"/>
        </w:rPr>
        <w:t>M</w:t>
      </w:r>
      <w:r w:rsidRPr="00BB450C">
        <w:rPr>
          <w:bCs/>
          <w:color w:val="000000" w:themeColor="text1"/>
        </w:rPr>
        <w:t xml:space="preserve"> = 4.21, </w:t>
      </w:r>
      <w:r w:rsidRPr="00BB450C">
        <w:rPr>
          <w:bCs/>
          <w:i/>
          <w:iCs/>
          <w:color w:val="000000" w:themeColor="text1"/>
        </w:rPr>
        <w:t>SD</w:t>
      </w:r>
      <w:r w:rsidRPr="00BB450C">
        <w:rPr>
          <w:bCs/>
          <w:color w:val="000000" w:themeColor="text1"/>
        </w:rPr>
        <w:t xml:space="preserve"> = .61), </w:t>
      </w:r>
      <w:proofErr w:type="gramStart"/>
      <w:r w:rsidRPr="00BB450C">
        <w:rPr>
          <w:bCs/>
          <w:i/>
          <w:iCs/>
          <w:color w:val="000000" w:themeColor="text1"/>
        </w:rPr>
        <w:t>t</w:t>
      </w:r>
      <w:r w:rsidRPr="00BB450C">
        <w:rPr>
          <w:bCs/>
          <w:color w:val="000000" w:themeColor="text1"/>
        </w:rPr>
        <w:t>(</w:t>
      </w:r>
      <w:proofErr w:type="gramEnd"/>
      <w:r w:rsidRPr="00BB450C">
        <w:rPr>
          <w:bCs/>
          <w:color w:val="000000" w:themeColor="text1"/>
        </w:rPr>
        <w:t xml:space="preserve">813) = -8.86, </w:t>
      </w:r>
      <w:r w:rsidRPr="00BB450C">
        <w:rPr>
          <w:bCs/>
          <w:i/>
          <w:iCs/>
          <w:color w:val="000000" w:themeColor="text1"/>
        </w:rPr>
        <w:t>p</w:t>
      </w:r>
      <w:r w:rsidRPr="00BB450C">
        <w:rPr>
          <w:bCs/>
          <w:color w:val="000000" w:themeColor="text1"/>
        </w:rPr>
        <w:t xml:space="preserve"> &lt; .001, Cohen’s </w:t>
      </w:r>
      <w:r w:rsidRPr="00BB450C">
        <w:rPr>
          <w:bCs/>
          <w:i/>
          <w:iCs/>
          <w:color w:val="000000" w:themeColor="text1"/>
        </w:rPr>
        <w:t>d</w:t>
      </w:r>
      <w:r w:rsidRPr="00BB450C">
        <w:rPr>
          <w:bCs/>
          <w:color w:val="000000" w:themeColor="text1"/>
        </w:rPr>
        <w:t xml:space="preserve"> = .33. Moreover, we compared the ratings of activity breadth between family and personal life measures. Using the composite scales, family (</w:t>
      </w:r>
      <w:r w:rsidRPr="00BB450C">
        <w:rPr>
          <w:bCs/>
          <w:i/>
          <w:iCs/>
          <w:color w:val="000000" w:themeColor="text1"/>
        </w:rPr>
        <w:t>M</w:t>
      </w:r>
      <w:r w:rsidRPr="00BB450C">
        <w:rPr>
          <w:bCs/>
          <w:color w:val="000000" w:themeColor="text1"/>
        </w:rPr>
        <w:t xml:space="preserve"> = 4.57, </w:t>
      </w:r>
      <w:r w:rsidRPr="00BB450C">
        <w:rPr>
          <w:bCs/>
          <w:i/>
          <w:iCs/>
          <w:color w:val="000000" w:themeColor="text1"/>
        </w:rPr>
        <w:t>SD</w:t>
      </w:r>
      <w:r w:rsidRPr="00BB450C">
        <w:rPr>
          <w:bCs/>
          <w:color w:val="000000" w:themeColor="text1"/>
        </w:rPr>
        <w:t xml:space="preserve"> = 1.35) was perceived as having significantly less activity breadth than </w:t>
      </w:r>
      <w:r w:rsidR="008400E9">
        <w:rPr>
          <w:bCs/>
          <w:color w:val="000000" w:themeColor="text1"/>
        </w:rPr>
        <w:t xml:space="preserve">one’s </w:t>
      </w:r>
      <w:r w:rsidRPr="00BB450C">
        <w:rPr>
          <w:bCs/>
          <w:color w:val="000000" w:themeColor="text1"/>
        </w:rPr>
        <w:t>personal life (</w:t>
      </w:r>
      <w:r w:rsidRPr="00BB450C">
        <w:rPr>
          <w:bCs/>
          <w:i/>
          <w:iCs/>
          <w:color w:val="000000" w:themeColor="text1"/>
        </w:rPr>
        <w:t>M</w:t>
      </w:r>
      <w:r w:rsidRPr="00BB450C">
        <w:rPr>
          <w:bCs/>
          <w:color w:val="000000" w:themeColor="text1"/>
        </w:rPr>
        <w:t xml:space="preserve"> = 5.02, </w:t>
      </w:r>
      <w:r w:rsidRPr="00BB450C">
        <w:rPr>
          <w:bCs/>
          <w:i/>
          <w:iCs/>
          <w:color w:val="000000" w:themeColor="text1"/>
        </w:rPr>
        <w:t>SD</w:t>
      </w:r>
      <w:r w:rsidRPr="00BB450C">
        <w:rPr>
          <w:bCs/>
          <w:color w:val="000000" w:themeColor="text1"/>
        </w:rPr>
        <w:t xml:space="preserve"> = 1.26),</w:t>
      </w:r>
      <w:r w:rsidRPr="00BB450C">
        <w:rPr>
          <w:bCs/>
          <w:i/>
          <w:iCs/>
          <w:color w:val="000000" w:themeColor="text1"/>
        </w:rPr>
        <w:t xml:space="preserve"> </w:t>
      </w:r>
      <w:proofErr w:type="gramStart"/>
      <w:r w:rsidRPr="00BB450C">
        <w:rPr>
          <w:bCs/>
          <w:i/>
          <w:iCs/>
          <w:color w:val="000000" w:themeColor="text1"/>
        </w:rPr>
        <w:t>t</w:t>
      </w:r>
      <w:r w:rsidRPr="00BB450C">
        <w:rPr>
          <w:bCs/>
          <w:color w:val="000000" w:themeColor="text1"/>
        </w:rPr>
        <w:t>(</w:t>
      </w:r>
      <w:proofErr w:type="gramEnd"/>
      <w:r w:rsidRPr="00BB450C">
        <w:rPr>
          <w:bCs/>
          <w:color w:val="000000" w:themeColor="text1"/>
        </w:rPr>
        <w:t xml:space="preserve">827) = -4.37, </w:t>
      </w:r>
      <w:r w:rsidRPr="00BB450C">
        <w:rPr>
          <w:bCs/>
          <w:i/>
          <w:iCs/>
          <w:color w:val="000000" w:themeColor="text1"/>
        </w:rPr>
        <w:t>p</w:t>
      </w:r>
      <w:r w:rsidRPr="00BB450C">
        <w:rPr>
          <w:bCs/>
          <w:color w:val="000000" w:themeColor="text1"/>
        </w:rPr>
        <w:t xml:space="preserve"> &lt; .001, Cohen’s </w:t>
      </w:r>
      <w:r w:rsidRPr="00BB450C">
        <w:rPr>
          <w:bCs/>
          <w:i/>
          <w:iCs/>
          <w:color w:val="000000" w:themeColor="text1"/>
        </w:rPr>
        <w:t>d</w:t>
      </w:r>
      <w:r w:rsidRPr="00BB450C">
        <w:rPr>
          <w:bCs/>
          <w:color w:val="000000" w:themeColor="text1"/>
        </w:rPr>
        <w:t xml:space="preserve"> = .</w:t>
      </w:r>
      <w:r w:rsidR="00FB39BF">
        <w:rPr>
          <w:bCs/>
          <w:color w:val="000000" w:themeColor="text1"/>
        </w:rPr>
        <w:t>3</w:t>
      </w:r>
      <w:r w:rsidRPr="00BB450C">
        <w:rPr>
          <w:bCs/>
          <w:color w:val="000000" w:themeColor="text1"/>
        </w:rPr>
        <w:t xml:space="preserve">4. </w:t>
      </w:r>
    </w:p>
    <w:p w14:paraId="2F340A59" w14:textId="2CAD1497" w:rsidR="00A01A70" w:rsidRDefault="00DF5E5B" w:rsidP="00872162">
      <w:pPr>
        <w:spacing w:line="480" w:lineRule="auto"/>
        <w:ind w:firstLine="720"/>
        <w:rPr>
          <w:color w:val="000000" w:themeColor="text1"/>
        </w:rPr>
      </w:pPr>
      <w:r w:rsidRPr="00BB450C">
        <w:rPr>
          <w:bCs/>
          <w:color w:val="000000" w:themeColor="text1"/>
        </w:rPr>
        <w:t xml:space="preserve">Altogether, these results suggest that the general assumptions of personal life activity characteristics hold. On average these activities tend to be distinct according to personal interest and sense of discretion as well as the perceived variety of activity options that we posited would </w:t>
      </w:r>
      <w:r w:rsidRPr="00BB450C">
        <w:rPr>
          <w:bCs/>
          <w:color w:val="000000" w:themeColor="text1"/>
        </w:rPr>
        <w:lastRenderedPageBreak/>
        <w:t xml:space="preserve">be particularly relevant for the conceptualization in one’s personal life specifically. This also aligns with </w:t>
      </w:r>
      <w:r w:rsidR="006D6A90">
        <w:rPr>
          <w:bCs/>
          <w:color w:val="000000" w:themeColor="text1"/>
        </w:rPr>
        <w:t>some descriptive data showing</w:t>
      </w:r>
      <w:r w:rsidRPr="00BB450C">
        <w:rPr>
          <w:bCs/>
          <w:color w:val="000000" w:themeColor="text1"/>
        </w:rPr>
        <w:t xml:space="preserve"> the level of enjoyableness across different nonwork and work activities</w:t>
      </w:r>
      <w:r w:rsidR="006D6A90">
        <w:rPr>
          <w:bCs/>
          <w:color w:val="000000" w:themeColor="text1"/>
        </w:rPr>
        <w:t>, and where nonwork-nonfamily interests are the highest</w:t>
      </w:r>
      <w:r w:rsidRPr="00BB450C">
        <w:rPr>
          <w:bCs/>
          <w:color w:val="000000" w:themeColor="text1"/>
        </w:rPr>
        <w:t xml:space="preserve"> (e.g., </w:t>
      </w:r>
      <w:r w:rsidRPr="00BB450C">
        <w:rPr>
          <w:color w:val="000000" w:themeColor="text1"/>
        </w:rPr>
        <w:t xml:space="preserve">Ortiz-Ospina et al., 2020). </w:t>
      </w:r>
      <w:r w:rsidR="00C15A50">
        <w:rPr>
          <w:color w:val="000000" w:themeColor="text1"/>
        </w:rPr>
        <w:t>Finally, our main analyses provide additional support for this general assumption as our hypotheses were supported over and above the inclusion of family activity breadth</w:t>
      </w:r>
      <w:r w:rsidR="0064568F">
        <w:rPr>
          <w:color w:val="000000" w:themeColor="text1"/>
        </w:rPr>
        <w:t xml:space="preserve"> </w:t>
      </w:r>
      <w:r w:rsidR="00763F0B">
        <w:rPr>
          <w:color w:val="000000" w:themeColor="text1"/>
        </w:rPr>
        <w:t xml:space="preserve">in Study 2, </w:t>
      </w:r>
      <w:r w:rsidR="0064568F">
        <w:rPr>
          <w:color w:val="000000" w:themeColor="text1"/>
        </w:rPr>
        <w:t xml:space="preserve">as well as </w:t>
      </w:r>
      <w:r w:rsidR="00BD452C">
        <w:rPr>
          <w:color w:val="000000" w:themeColor="text1"/>
        </w:rPr>
        <w:t>family role investment (i.e.,</w:t>
      </w:r>
      <w:r w:rsidR="0064568F">
        <w:rPr>
          <w:color w:val="000000" w:themeColor="text1"/>
        </w:rPr>
        <w:t xml:space="preserve"> number of children and nonwork hours</w:t>
      </w:r>
      <w:r w:rsidR="00BD452C">
        <w:rPr>
          <w:color w:val="000000" w:themeColor="text1"/>
        </w:rPr>
        <w:t>) in Study 1</w:t>
      </w:r>
      <w:r w:rsidR="005F5D7B">
        <w:rPr>
          <w:color w:val="000000" w:themeColor="text1"/>
        </w:rPr>
        <w:t>.</w:t>
      </w:r>
      <w:r w:rsidR="00C15A50">
        <w:rPr>
          <w:color w:val="000000" w:themeColor="text1"/>
        </w:rPr>
        <w:t xml:space="preserve"> </w:t>
      </w:r>
    </w:p>
    <w:p w14:paraId="7F1AEF03" w14:textId="62EDC5BF" w:rsidR="008A0388" w:rsidRPr="008A0388" w:rsidRDefault="008A0388" w:rsidP="008A0388">
      <w:pPr>
        <w:spacing w:line="480" w:lineRule="auto"/>
        <w:ind w:firstLine="720"/>
        <w:rPr>
          <w:color w:val="000000" w:themeColor="text1"/>
        </w:rPr>
      </w:pPr>
      <w:r w:rsidRPr="008A0388">
        <w:rPr>
          <w:color w:val="000000" w:themeColor="text1"/>
          <w:lang w:val="en-US"/>
        </w:rPr>
        <w:t xml:space="preserve">Although Wilson and Baumann’s (2015) definitions indicate that these domains are mutually exclusive in theory, we want to acknowledge that there is a grey area where personal life activities may overlap with family in situ. As such, as part of </w:t>
      </w:r>
      <w:r w:rsidR="00C13D95">
        <w:rPr>
          <w:color w:val="000000" w:themeColor="text1"/>
          <w:lang w:val="en-US"/>
        </w:rPr>
        <w:t>this</w:t>
      </w:r>
      <w:r w:rsidRPr="008A0388">
        <w:rPr>
          <w:color w:val="000000" w:themeColor="text1"/>
          <w:lang w:val="en-US"/>
        </w:rPr>
        <w:t xml:space="preserve"> study, we </w:t>
      </w:r>
      <w:r w:rsidR="00C13D95">
        <w:rPr>
          <w:color w:val="000000" w:themeColor="text1"/>
          <w:lang w:val="en-US"/>
        </w:rPr>
        <w:t xml:space="preserve">also </w:t>
      </w:r>
      <w:r w:rsidRPr="008A0388">
        <w:rPr>
          <w:color w:val="000000" w:themeColor="text1"/>
          <w:lang w:val="en-US"/>
        </w:rPr>
        <w:t xml:space="preserve">asked participants to indicate whether each activity they participated was done with family members (yes/no). Consequently, it appeared that this was the case when the physical location where an activity takes place is most likely to be at home (e.g., 76% who reported </w:t>
      </w:r>
      <w:r w:rsidRPr="008A0388">
        <w:rPr>
          <w:i/>
          <w:iCs/>
          <w:color w:val="000000" w:themeColor="text1"/>
          <w:lang w:val="en-US"/>
        </w:rPr>
        <w:t>watching movies</w:t>
      </w:r>
      <w:r w:rsidRPr="008A0388">
        <w:rPr>
          <w:color w:val="000000" w:themeColor="text1"/>
          <w:lang w:val="en-US"/>
        </w:rPr>
        <w:t xml:space="preserve"> indicated doing it with family) and when some family members have overlapping interests (e.g., 81% who reported </w:t>
      </w:r>
      <w:r w:rsidRPr="008A0388">
        <w:rPr>
          <w:i/>
          <w:iCs/>
          <w:color w:val="000000" w:themeColor="text1"/>
          <w:lang w:val="en-US"/>
        </w:rPr>
        <w:t>camping or backpacking</w:t>
      </w:r>
      <w:r w:rsidRPr="008A0388">
        <w:rPr>
          <w:color w:val="000000" w:themeColor="text1"/>
          <w:lang w:val="en-US"/>
        </w:rPr>
        <w:t xml:space="preserve"> indicated doing it with family). However, we contend that despite some personal life activities overlapping with family, this did not dictate involvement in these activities as being obligatory </w:t>
      </w:r>
      <w:r w:rsidRPr="008A0388">
        <w:rPr>
          <w:i/>
          <w:iCs/>
          <w:color w:val="000000" w:themeColor="text1"/>
          <w:lang w:val="en-US"/>
        </w:rPr>
        <w:t>because of</w:t>
      </w:r>
      <w:r w:rsidRPr="008A0388">
        <w:rPr>
          <w:color w:val="000000" w:themeColor="text1"/>
          <w:lang w:val="en-US"/>
        </w:rPr>
        <w:t xml:space="preserve"> the family member and/or lead to an omission in personal interest associated with these personal life activities—the resource generative attributes of such activities. </w:t>
      </w:r>
    </w:p>
    <w:p w14:paraId="06FBA5F9" w14:textId="77777777" w:rsidR="008A0388" w:rsidRDefault="008A0388" w:rsidP="00872162">
      <w:pPr>
        <w:spacing w:line="480" w:lineRule="auto"/>
        <w:ind w:firstLine="720"/>
        <w:rPr>
          <w:color w:val="000000" w:themeColor="text1"/>
        </w:rPr>
      </w:pPr>
    </w:p>
    <w:p w14:paraId="188F39C3" w14:textId="77777777" w:rsidR="003A5C56" w:rsidRDefault="003A5C56">
      <w:pPr>
        <w:rPr>
          <w:b/>
          <w:bCs/>
          <w:color w:val="000000" w:themeColor="text1"/>
        </w:rPr>
      </w:pPr>
      <w:r>
        <w:rPr>
          <w:b/>
          <w:bCs/>
          <w:color w:val="000000" w:themeColor="text1"/>
        </w:rPr>
        <w:br w:type="page"/>
      </w:r>
    </w:p>
    <w:p w14:paraId="40C47C80" w14:textId="77777777" w:rsidR="003A5C56" w:rsidRDefault="003A5C56" w:rsidP="00AA4DC0">
      <w:pPr>
        <w:ind w:right="4"/>
        <w:outlineLvl w:val="0"/>
        <w:rPr>
          <w:b/>
          <w:bCs/>
          <w:iCs/>
          <w:color w:val="000000" w:themeColor="text1"/>
        </w:rPr>
      </w:pPr>
    </w:p>
    <w:p w14:paraId="0B13E2B6" w14:textId="46A8D116" w:rsidR="00641982" w:rsidRDefault="00BA6FC4" w:rsidP="008C3AF5">
      <w:pPr>
        <w:spacing w:line="480" w:lineRule="auto"/>
        <w:jc w:val="center"/>
        <w:rPr>
          <w:b/>
          <w:bCs/>
          <w:color w:val="000000" w:themeColor="text1"/>
        </w:rPr>
      </w:pPr>
      <w:r w:rsidRPr="003D6699">
        <w:rPr>
          <w:b/>
          <w:bCs/>
          <w:color w:val="000000" w:themeColor="text1"/>
        </w:rPr>
        <w:t xml:space="preserve">Supplementary </w:t>
      </w:r>
      <w:r w:rsidR="00BC67FE" w:rsidRPr="003D6699">
        <w:rPr>
          <w:b/>
          <w:bCs/>
          <w:color w:val="000000" w:themeColor="text1"/>
        </w:rPr>
        <w:t>References</w:t>
      </w:r>
    </w:p>
    <w:p w14:paraId="632D325B" w14:textId="77777777" w:rsidR="009E7944" w:rsidRPr="00CF6EF3" w:rsidRDefault="009E7944" w:rsidP="009E7944">
      <w:pPr>
        <w:spacing w:line="480" w:lineRule="auto"/>
        <w:ind w:left="709" w:hanging="709"/>
        <w:rPr>
          <w:color w:val="000000" w:themeColor="text1"/>
        </w:rPr>
      </w:pPr>
      <w:r w:rsidRPr="00CF6EF3">
        <w:rPr>
          <w:color w:val="000000" w:themeColor="text1"/>
        </w:rPr>
        <w:t xml:space="preserve">Brown, G., &amp; Baer, M. (2015). Protecting the turf: The effect of territorial marking on others’ creativity. </w:t>
      </w:r>
      <w:r w:rsidRPr="00CF6EF3">
        <w:rPr>
          <w:i/>
          <w:iCs/>
          <w:color w:val="000000" w:themeColor="text1"/>
        </w:rPr>
        <w:t>Journal of Applied Psychology, 100</w:t>
      </w:r>
      <w:r w:rsidRPr="00CF6EF3">
        <w:rPr>
          <w:color w:val="000000" w:themeColor="text1"/>
        </w:rPr>
        <w:t>, 1785</w:t>
      </w:r>
      <w:r w:rsidRPr="00CF6EF3">
        <w:rPr>
          <w:color w:val="000000" w:themeColor="text1"/>
          <w:lang w:val="en-US"/>
        </w:rPr>
        <w:t>–</w:t>
      </w:r>
      <w:r w:rsidRPr="00CF6EF3">
        <w:rPr>
          <w:color w:val="000000" w:themeColor="text1"/>
        </w:rPr>
        <w:t xml:space="preserve">1797. </w:t>
      </w:r>
      <w:hyperlink r:id="rId7" w:history="1">
        <w:r w:rsidRPr="00CF6EF3">
          <w:rPr>
            <w:rStyle w:val="Hyperlink"/>
          </w:rPr>
          <w:t>https://doi.org/10.1037/a0039254</w:t>
        </w:r>
      </w:hyperlink>
      <w:r w:rsidRPr="00CF6EF3">
        <w:rPr>
          <w:color w:val="000000" w:themeColor="text1"/>
        </w:rPr>
        <w:t xml:space="preserve"> </w:t>
      </w:r>
    </w:p>
    <w:p w14:paraId="57F1C59E" w14:textId="77777777" w:rsidR="009E7944" w:rsidRPr="00CF6EF3" w:rsidRDefault="009E7944" w:rsidP="009E7944">
      <w:pPr>
        <w:spacing w:line="480" w:lineRule="auto"/>
        <w:ind w:left="709" w:hanging="709"/>
        <w:rPr>
          <w:color w:val="000000" w:themeColor="text1"/>
          <w:shd w:val="clear" w:color="auto" w:fill="FFFFFF"/>
        </w:rPr>
      </w:pPr>
      <w:r w:rsidRPr="00CF6EF3">
        <w:rPr>
          <w:color w:val="000000" w:themeColor="text1"/>
          <w:shd w:val="clear" w:color="auto" w:fill="FFFFFF"/>
        </w:rPr>
        <w:t xml:space="preserve">Ortiz-Ospina, E., </w:t>
      </w:r>
      <w:proofErr w:type="spellStart"/>
      <w:r w:rsidRPr="00CF6EF3">
        <w:rPr>
          <w:color w:val="000000" w:themeColor="text1"/>
          <w:shd w:val="clear" w:color="auto" w:fill="FFFFFF"/>
        </w:rPr>
        <w:t>Giattino</w:t>
      </w:r>
      <w:proofErr w:type="spellEnd"/>
      <w:r w:rsidRPr="00CF6EF3">
        <w:rPr>
          <w:color w:val="000000" w:themeColor="text1"/>
          <w:shd w:val="clear" w:color="auto" w:fill="FFFFFF"/>
        </w:rPr>
        <w:t xml:space="preserve">, C., &amp; </w:t>
      </w:r>
      <w:proofErr w:type="spellStart"/>
      <w:r w:rsidRPr="00CF6EF3">
        <w:rPr>
          <w:color w:val="000000" w:themeColor="text1"/>
          <w:shd w:val="clear" w:color="auto" w:fill="FFFFFF"/>
        </w:rPr>
        <w:t>Roser</w:t>
      </w:r>
      <w:proofErr w:type="spellEnd"/>
      <w:r w:rsidRPr="00CF6EF3">
        <w:rPr>
          <w:color w:val="000000" w:themeColor="text1"/>
          <w:shd w:val="clear" w:color="auto" w:fill="FFFFFF"/>
        </w:rPr>
        <w:t xml:space="preserve">, M. (2020). Time use. </w:t>
      </w:r>
      <w:r w:rsidRPr="00CF6EF3">
        <w:rPr>
          <w:i/>
          <w:iCs/>
          <w:color w:val="000000" w:themeColor="text1"/>
          <w:shd w:val="clear" w:color="auto" w:fill="FFFFFF"/>
        </w:rPr>
        <w:t>Our World in Data</w:t>
      </w:r>
      <w:r w:rsidRPr="00CF6EF3">
        <w:rPr>
          <w:color w:val="000000" w:themeColor="text1"/>
          <w:shd w:val="clear" w:color="auto" w:fill="FFFFFF"/>
        </w:rPr>
        <w:t xml:space="preserve">. </w:t>
      </w:r>
      <w:hyperlink r:id="rId8" w:anchor="how-do-people-across-the-world-spend-their-time-and-what-does-this-tell-us-about-living-conditions" w:history="1">
        <w:r w:rsidRPr="00CF6EF3">
          <w:rPr>
            <w:rStyle w:val="Hyperlink"/>
          </w:rPr>
          <w:t>https://ourworldindata.org/time-use#how-do-people-across-the-world-spend-their-time-and-what-does-this-tell-us-about-living-conditions</w:t>
        </w:r>
      </w:hyperlink>
    </w:p>
    <w:p w14:paraId="71372233" w14:textId="77777777" w:rsidR="009E7944" w:rsidRPr="00CF6EF3" w:rsidRDefault="009E7944" w:rsidP="009E7944">
      <w:pPr>
        <w:spacing w:line="480" w:lineRule="auto"/>
        <w:ind w:left="709" w:hanging="709"/>
        <w:rPr>
          <w:color w:val="000000" w:themeColor="text1"/>
          <w:shd w:val="clear" w:color="auto" w:fill="FFFFFF"/>
        </w:rPr>
      </w:pPr>
      <w:proofErr w:type="spellStart"/>
      <w:r w:rsidRPr="00CF6EF3">
        <w:rPr>
          <w:color w:val="000000" w:themeColor="text1"/>
          <w:shd w:val="clear" w:color="auto" w:fill="FFFFFF"/>
        </w:rPr>
        <w:t>Sonnentag</w:t>
      </w:r>
      <w:proofErr w:type="spellEnd"/>
      <w:r w:rsidRPr="00CF6EF3">
        <w:rPr>
          <w:color w:val="000000" w:themeColor="text1"/>
          <w:shd w:val="clear" w:color="auto" w:fill="FFFFFF"/>
        </w:rPr>
        <w:t>, S., &amp; Fritz, C. (2007). The Recovery Experience Questionnaire: Development and validation of a measure for assessing recuperation and unwinding from work.</w:t>
      </w:r>
      <w:r w:rsidRPr="00CF6EF3">
        <w:rPr>
          <w:i/>
          <w:iCs/>
          <w:color w:val="000000" w:themeColor="text1"/>
          <w:shd w:val="clear" w:color="auto" w:fill="FFFFFF"/>
        </w:rPr>
        <w:t xml:space="preserve"> Journal of Occupational Health Psychology, 12</w:t>
      </w:r>
      <w:r w:rsidRPr="00CF6EF3">
        <w:rPr>
          <w:color w:val="000000" w:themeColor="text1"/>
          <w:shd w:val="clear" w:color="auto" w:fill="FFFFFF"/>
        </w:rPr>
        <w:t xml:space="preserve">, 204–221. </w:t>
      </w:r>
      <w:hyperlink r:id="rId9" w:history="1">
        <w:r w:rsidRPr="00CF6EF3">
          <w:rPr>
            <w:rStyle w:val="Hyperlink"/>
            <w:shd w:val="clear" w:color="auto" w:fill="FFFFFF"/>
          </w:rPr>
          <w:t>https://doi.org/10.1037/1076-8998.12.3.204</w:t>
        </w:r>
      </w:hyperlink>
      <w:r w:rsidRPr="00CF6EF3">
        <w:rPr>
          <w:color w:val="000000" w:themeColor="text1"/>
          <w:shd w:val="clear" w:color="auto" w:fill="FFFFFF"/>
        </w:rPr>
        <w:t xml:space="preserve"> </w:t>
      </w:r>
    </w:p>
    <w:p w14:paraId="6B27FCA1" w14:textId="77777777" w:rsidR="009E7944" w:rsidRPr="0027478F" w:rsidRDefault="009E7944" w:rsidP="009E7944">
      <w:pPr>
        <w:pStyle w:val="NormalWeb"/>
        <w:spacing w:line="480" w:lineRule="auto"/>
        <w:ind w:left="709" w:hanging="709"/>
        <w:rPr>
          <w:color w:val="000000" w:themeColor="text1"/>
        </w:rPr>
      </w:pPr>
      <w:r w:rsidRPr="00CF6EF3">
        <w:rPr>
          <w:color w:val="000000" w:themeColor="text1"/>
          <w:lang w:val="en-US"/>
        </w:rPr>
        <w:t xml:space="preserve">Wilson, K. S., &amp; Baumann, H. M. (2015). Capturing a more complete view of employees’ lives outside of work: The introduction and development of new interrole conflict constructs. </w:t>
      </w:r>
      <w:r w:rsidRPr="00CF6EF3">
        <w:rPr>
          <w:i/>
          <w:iCs/>
          <w:color w:val="000000" w:themeColor="text1"/>
          <w:lang w:val="en-US"/>
        </w:rPr>
        <w:t>Personnel Psychology</w:t>
      </w:r>
      <w:r w:rsidRPr="00CF6EF3">
        <w:rPr>
          <w:color w:val="000000" w:themeColor="text1"/>
          <w:lang w:val="en-US"/>
        </w:rPr>
        <w:t xml:space="preserve">, </w:t>
      </w:r>
      <w:r w:rsidRPr="00CF6EF3">
        <w:rPr>
          <w:i/>
          <w:iCs/>
          <w:color w:val="000000" w:themeColor="text1"/>
          <w:lang w:val="en-US"/>
        </w:rPr>
        <w:t>68</w:t>
      </w:r>
      <w:r w:rsidRPr="00CF6EF3">
        <w:rPr>
          <w:color w:val="000000" w:themeColor="text1"/>
          <w:lang w:val="en-US"/>
        </w:rPr>
        <w:t xml:space="preserve">, 235–282. </w:t>
      </w:r>
      <w:hyperlink r:id="rId10" w:history="1">
        <w:r w:rsidRPr="00CF6EF3">
          <w:rPr>
            <w:rStyle w:val="Hyperlink"/>
          </w:rPr>
          <w:t>https://doi.org/10.1111/peps.12080</w:t>
        </w:r>
      </w:hyperlink>
      <w:r w:rsidRPr="005F3A30">
        <w:rPr>
          <w:color w:val="000000" w:themeColor="text1"/>
        </w:rPr>
        <w:t xml:space="preserve"> </w:t>
      </w:r>
    </w:p>
    <w:p w14:paraId="556A1ED2" w14:textId="77777777" w:rsidR="009E7944" w:rsidRPr="008913D5" w:rsidRDefault="009E7944" w:rsidP="008C3AF5">
      <w:pPr>
        <w:spacing w:line="480" w:lineRule="auto"/>
        <w:jc w:val="center"/>
        <w:rPr>
          <w:b/>
          <w:bCs/>
          <w:color w:val="000000" w:themeColor="text1"/>
        </w:rPr>
      </w:pPr>
    </w:p>
    <w:p w14:paraId="0F585749" w14:textId="77777777" w:rsidR="0027478F" w:rsidRPr="0027478F" w:rsidRDefault="0027478F" w:rsidP="00872162">
      <w:pPr>
        <w:pStyle w:val="NormalWeb"/>
        <w:spacing w:line="480" w:lineRule="auto"/>
        <w:ind w:left="709" w:hanging="709"/>
        <w:rPr>
          <w:color w:val="000000" w:themeColor="text1"/>
        </w:rPr>
      </w:pPr>
    </w:p>
    <w:sectPr w:rsidR="0027478F" w:rsidRPr="0027478F" w:rsidSect="00BB4D5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4DB60" w14:textId="77777777" w:rsidR="00937B7D" w:rsidRDefault="00937B7D" w:rsidP="002C3AD9">
      <w:r>
        <w:separator/>
      </w:r>
    </w:p>
  </w:endnote>
  <w:endnote w:type="continuationSeparator" w:id="0">
    <w:p w14:paraId="788380C5" w14:textId="77777777" w:rsidR="00937B7D" w:rsidRDefault="00937B7D" w:rsidP="002C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3766" w14:textId="77777777" w:rsidR="0083125B" w:rsidRDefault="0083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80E51" w14:textId="77777777" w:rsidR="0083125B" w:rsidRDefault="008312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8A71" w14:textId="77777777" w:rsidR="0083125B" w:rsidRDefault="0083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2E82" w14:textId="77777777" w:rsidR="00937B7D" w:rsidRDefault="00937B7D" w:rsidP="002C3AD9">
      <w:r>
        <w:separator/>
      </w:r>
    </w:p>
  </w:footnote>
  <w:footnote w:type="continuationSeparator" w:id="0">
    <w:p w14:paraId="08F64829" w14:textId="77777777" w:rsidR="00937B7D" w:rsidRDefault="00937B7D" w:rsidP="002C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36013422"/>
      <w:docPartObj>
        <w:docPartGallery w:val="Page Numbers (Top of Page)"/>
        <w:docPartUnique/>
      </w:docPartObj>
    </w:sdtPr>
    <w:sdtEndPr>
      <w:rPr>
        <w:rStyle w:val="PageNumber"/>
      </w:rPr>
    </w:sdtEndPr>
    <w:sdtContent>
      <w:p w14:paraId="2B893DE3" w14:textId="73A0AFB9" w:rsidR="00476F5B" w:rsidRDefault="00476F5B" w:rsidP="00414B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60EDA3" w14:textId="77777777" w:rsidR="00476F5B" w:rsidRDefault="00476F5B" w:rsidP="00476F5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37367094"/>
      <w:docPartObj>
        <w:docPartGallery w:val="Page Numbers (Top of Page)"/>
        <w:docPartUnique/>
      </w:docPartObj>
    </w:sdtPr>
    <w:sdtEndPr>
      <w:rPr>
        <w:rStyle w:val="PageNumber"/>
      </w:rPr>
    </w:sdtEndPr>
    <w:sdtContent>
      <w:p w14:paraId="0FA5B586" w14:textId="24CF1878" w:rsidR="00476F5B" w:rsidRDefault="00EB4879" w:rsidP="00414BCF">
        <w:pPr>
          <w:pStyle w:val="Header"/>
          <w:framePr w:wrap="none" w:vAnchor="text" w:hAnchor="margin" w:xAlign="right" w:y="1"/>
          <w:rPr>
            <w:rStyle w:val="PageNumber"/>
          </w:rPr>
        </w:pPr>
      </w:p>
    </w:sdtContent>
  </w:sdt>
  <w:p w14:paraId="1E109512" w14:textId="0891244A" w:rsidR="002C3AD9" w:rsidRDefault="002C3AD9" w:rsidP="00476F5B">
    <w:pPr>
      <w:pStyle w:val="Header"/>
      <w:ind w:right="360"/>
    </w:pPr>
    <w:r>
      <w:t>PERSONAL LIFE</w:t>
    </w:r>
    <w:r w:rsidR="00D05014">
      <w:t>-TO-WORK ENRICHMENT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C55F" w14:textId="77777777" w:rsidR="0083125B" w:rsidRDefault="0083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B1EC5"/>
    <w:multiLevelType w:val="hybridMultilevel"/>
    <w:tmpl w:val="F53C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6A7479"/>
    <w:multiLevelType w:val="hybridMultilevel"/>
    <w:tmpl w:val="1C3C8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6D0523"/>
    <w:multiLevelType w:val="hybridMultilevel"/>
    <w:tmpl w:val="04685882"/>
    <w:lvl w:ilvl="0" w:tplc="25E63E4A">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02953526">
    <w:abstractNumId w:val="0"/>
  </w:num>
  <w:num w:numId="2" w16cid:durableId="1704592839">
    <w:abstractNumId w:val="1"/>
  </w:num>
  <w:num w:numId="3" w16cid:durableId="1767382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CC"/>
    <w:rsid w:val="00000C61"/>
    <w:rsid w:val="00002812"/>
    <w:rsid w:val="00005748"/>
    <w:rsid w:val="00010638"/>
    <w:rsid w:val="00011252"/>
    <w:rsid w:val="00011A8F"/>
    <w:rsid w:val="00012407"/>
    <w:rsid w:val="00013A98"/>
    <w:rsid w:val="00020F71"/>
    <w:rsid w:val="00021AE2"/>
    <w:rsid w:val="00021E60"/>
    <w:rsid w:val="0002232E"/>
    <w:rsid w:val="00022B7A"/>
    <w:rsid w:val="00025B2E"/>
    <w:rsid w:val="00025D0A"/>
    <w:rsid w:val="000268BD"/>
    <w:rsid w:val="0003752F"/>
    <w:rsid w:val="00040CAE"/>
    <w:rsid w:val="0004223B"/>
    <w:rsid w:val="0004518B"/>
    <w:rsid w:val="000456D3"/>
    <w:rsid w:val="000476F3"/>
    <w:rsid w:val="00047CCC"/>
    <w:rsid w:val="000512E0"/>
    <w:rsid w:val="0005130F"/>
    <w:rsid w:val="000520F3"/>
    <w:rsid w:val="00052B45"/>
    <w:rsid w:val="00057524"/>
    <w:rsid w:val="00066636"/>
    <w:rsid w:val="00067A2E"/>
    <w:rsid w:val="000762FC"/>
    <w:rsid w:val="00077889"/>
    <w:rsid w:val="00083590"/>
    <w:rsid w:val="00091F69"/>
    <w:rsid w:val="00096199"/>
    <w:rsid w:val="000A32D4"/>
    <w:rsid w:val="000A44AF"/>
    <w:rsid w:val="000A5761"/>
    <w:rsid w:val="000A579D"/>
    <w:rsid w:val="000A65D2"/>
    <w:rsid w:val="000A769C"/>
    <w:rsid w:val="000B4B5A"/>
    <w:rsid w:val="000B626A"/>
    <w:rsid w:val="000B7755"/>
    <w:rsid w:val="000D0A94"/>
    <w:rsid w:val="000D22A6"/>
    <w:rsid w:val="000D47CF"/>
    <w:rsid w:val="000D4803"/>
    <w:rsid w:val="000E5C27"/>
    <w:rsid w:val="000E725D"/>
    <w:rsid w:val="000F0008"/>
    <w:rsid w:val="000F1771"/>
    <w:rsid w:val="000F4982"/>
    <w:rsid w:val="000F7499"/>
    <w:rsid w:val="00100735"/>
    <w:rsid w:val="00101354"/>
    <w:rsid w:val="00101862"/>
    <w:rsid w:val="00106D24"/>
    <w:rsid w:val="0010710E"/>
    <w:rsid w:val="00116A79"/>
    <w:rsid w:val="00120BC8"/>
    <w:rsid w:val="0012271A"/>
    <w:rsid w:val="00122907"/>
    <w:rsid w:val="00124C7A"/>
    <w:rsid w:val="001259FC"/>
    <w:rsid w:val="00125D5A"/>
    <w:rsid w:val="00126785"/>
    <w:rsid w:val="00127173"/>
    <w:rsid w:val="00130931"/>
    <w:rsid w:val="001321CD"/>
    <w:rsid w:val="00136C6D"/>
    <w:rsid w:val="00137A2C"/>
    <w:rsid w:val="00140C29"/>
    <w:rsid w:val="00142217"/>
    <w:rsid w:val="001479A8"/>
    <w:rsid w:val="00153A85"/>
    <w:rsid w:val="0015464A"/>
    <w:rsid w:val="0015709C"/>
    <w:rsid w:val="001637E0"/>
    <w:rsid w:val="00166773"/>
    <w:rsid w:val="0016685D"/>
    <w:rsid w:val="001671A3"/>
    <w:rsid w:val="0017051D"/>
    <w:rsid w:val="001705B3"/>
    <w:rsid w:val="00172553"/>
    <w:rsid w:val="001755BE"/>
    <w:rsid w:val="00177D36"/>
    <w:rsid w:val="00180EDB"/>
    <w:rsid w:val="0019107E"/>
    <w:rsid w:val="00194863"/>
    <w:rsid w:val="0019788A"/>
    <w:rsid w:val="001A0DF8"/>
    <w:rsid w:val="001A2F09"/>
    <w:rsid w:val="001A5C6B"/>
    <w:rsid w:val="001B1E39"/>
    <w:rsid w:val="001B2A59"/>
    <w:rsid w:val="001D0784"/>
    <w:rsid w:val="001D497E"/>
    <w:rsid w:val="001D7C69"/>
    <w:rsid w:val="001E069D"/>
    <w:rsid w:val="001E18BF"/>
    <w:rsid w:val="001E1E59"/>
    <w:rsid w:val="001E3543"/>
    <w:rsid w:val="001E4885"/>
    <w:rsid w:val="001E4B39"/>
    <w:rsid w:val="001F5A89"/>
    <w:rsid w:val="001F5AC2"/>
    <w:rsid w:val="001F5E65"/>
    <w:rsid w:val="001F6567"/>
    <w:rsid w:val="002000EC"/>
    <w:rsid w:val="00203659"/>
    <w:rsid w:val="0020420B"/>
    <w:rsid w:val="00204C01"/>
    <w:rsid w:val="002106C4"/>
    <w:rsid w:val="00210851"/>
    <w:rsid w:val="002147FC"/>
    <w:rsid w:val="00215971"/>
    <w:rsid w:val="00215B55"/>
    <w:rsid w:val="00222AB0"/>
    <w:rsid w:val="00226BF2"/>
    <w:rsid w:val="00230A94"/>
    <w:rsid w:val="00233DBF"/>
    <w:rsid w:val="002367C6"/>
    <w:rsid w:val="002440DA"/>
    <w:rsid w:val="00245D26"/>
    <w:rsid w:val="00246E80"/>
    <w:rsid w:val="002522B2"/>
    <w:rsid w:val="002524CA"/>
    <w:rsid w:val="002525D9"/>
    <w:rsid w:val="002536DA"/>
    <w:rsid w:val="002539F1"/>
    <w:rsid w:val="0025622E"/>
    <w:rsid w:val="00257035"/>
    <w:rsid w:val="0026072B"/>
    <w:rsid w:val="0026111B"/>
    <w:rsid w:val="002619D1"/>
    <w:rsid w:val="002654DE"/>
    <w:rsid w:val="0027478F"/>
    <w:rsid w:val="00275794"/>
    <w:rsid w:val="002767EE"/>
    <w:rsid w:val="00276D06"/>
    <w:rsid w:val="00281407"/>
    <w:rsid w:val="00282375"/>
    <w:rsid w:val="00282457"/>
    <w:rsid w:val="002843F6"/>
    <w:rsid w:val="002854AC"/>
    <w:rsid w:val="00285F25"/>
    <w:rsid w:val="00290991"/>
    <w:rsid w:val="00294FC7"/>
    <w:rsid w:val="002956ED"/>
    <w:rsid w:val="00296173"/>
    <w:rsid w:val="0029706E"/>
    <w:rsid w:val="00297218"/>
    <w:rsid w:val="002A3BDE"/>
    <w:rsid w:val="002A697C"/>
    <w:rsid w:val="002B6B7D"/>
    <w:rsid w:val="002C1095"/>
    <w:rsid w:val="002C3AD9"/>
    <w:rsid w:val="002C412A"/>
    <w:rsid w:val="002C6E11"/>
    <w:rsid w:val="002D36A3"/>
    <w:rsid w:val="002D40C1"/>
    <w:rsid w:val="002D42F7"/>
    <w:rsid w:val="002D7071"/>
    <w:rsid w:val="002D7CCE"/>
    <w:rsid w:val="002E3186"/>
    <w:rsid w:val="002E4C38"/>
    <w:rsid w:val="002F3E1E"/>
    <w:rsid w:val="002F4E91"/>
    <w:rsid w:val="002F6670"/>
    <w:rsid w:val="002F79D9"/>
    <w:rsid w:val="00303032"/>
    <w:rsid w:val="003042BF"/>
    <w:rsid w:val="00304C05"/>
    <w:rsid w:val="00306E77"/>
    <w:rsid w:val="00311ACD"/>
    <w:rsid w:val="00312A8C"/>
    <w:rsid w:val="0031305B"/>
    <w:rsid w:val="00315282"/>
    <w:rsid w:val="003157E4"/>
    <w:rsid w:val="00315A33"/>
    <w:rsid w:val="003178F7"/>
    <w:rsid w:val="00320A60"/>
    <w:rsid w:val="00324289"/>
    <w:rsid w:val="0032449E"/>
    <w:rsid w:val="00334BAC"/>
    <w:rsid w:val="00337202"/>
    <w:rsid w:val="0034178D"/>
    <w:rsid w:val="003421D7"/>
    <w:rsid w:val="00342CC6"/>
    <w:rsid w:val="00343956"/>
    <w:rsid w:val="003458F8"/>
    <w:rsid w:val="00347ED1"/>
    <w:rsid w:val="00362EE1"/>
    <w:rsid w:val="0036483C"/>
    <w:rsid w:val="00364925"/>
    <w:rsid w:val="00366832"/>
    <w:rsid w:val="00372B9C"/>
    <w:rsid w:val="00374453"/>
    <w:rsid w:val="00384A8A"/>
    <w:rsid w:val="00386A39"/>
    <w:rsid w:val="00386BA1"/>
    <w:rsid w:val="00386EA8"/>
    <w:rsid w:val="00391573"/>
    <w:rsid w:val="003926E6"/>
    <w:rsid w:val="00392DB6"/>
    <w:rsid w:val="00394CEF"/>
    <w:rsid w:val="0039787A"/>
    <w:rsid w:val="003A03A8"/>
    <w:rsid w:val="003A5C56"/>
    <w:rsid w:val="003A6A64"/>
    <w:rsid w:val="003A70FA"/>
    <w:rsid w:val="003A7BF2"/>
    <w:rsid w:val="003B2BDB"/>
    <w:rsid w:val="003B34B0"/>
    <w:rsid w:val="003C053F"/>
    <w:rsid w:val="003C182F"/>
    <w:rsid w:val="003C212F"/>
    <w:rsid w:val="003C23EC"/>
    <w:rsid w:val="003C2BCD"/>
    <w:rsid w:val="003C321B"/>
    <w:rsid w:val="003C3299"/>
    <w:rsid w:val="003C5108"/>
    <w:rsid w:val="003C5BF1"/>
    <w:rsid w:val="003D0861"/>
    <w:rsid w:val="003D6699"/>
    <w:rsid w:val="003D76D1"/>
    <w:rsid w:val="003D7CF4"/>
    <w:rsid w:val="003E1039"/>
    <w:rsid w:val="003E1835"/>
    <w:rsid w:val="003E1AA0"/>
    <w:rsid w:val="003E2E5B"/>
    <w:rsid w:val="003E346C"/>
    <w:rsid w:val="003E6006"/>
    <w:rsid w:val="003E6AEA"/>
    <w:rsid w:val="003E7BC3"/>
    <w:rsid w:val="003F0306"/>
    <w:rsid w:val="003F2853"/>
    <w:rsid w:val="003F7F66"/>
    <w:rsid w:val="00402DF3"/>
    <w:rsid w:val="00404664"/>
    <w:rsid w:val="00404E6C"/>
    <w:rsid w:val="0040546F"/>
    <w:rsid w:val="00412A2B"/>
    <w:rsid w:val="00415B6B"/>
    <w:rsid w:val="004161D5"/>
    <w:rsid w:val="004247EE"/>
    <w:rsid w:val="0042588A"/>
    <w:rsid w:val="004259D5"/>
    <w:rsid w:val="004267FE"/>
    <w:rsid w:val="00430049"/>
    <w:rsid w:val="004321BF"/>
    <w:rsid w:val="00432873"/>
    <w:rsid w:val="004357F4"/>
    <w:rsid w:val="00435D7A"/>
    <w:rsid w:val="00440F26"/>
    <w:rsid w:val="00441FF1"/>
    <w:rsid w:val="00442A5B"/>
    <w:rsid w:val="00443DC9"/>
    <w:rsid w:val="00444079"/>
    <w:rsid w:val="0044601A"/>
    <w:rsid w:val="00450B48"/>
    <w:rsid w:val="00451768"/>
    <w:rsid w:val="00452AE0"/>
    <w:rsid w:val="00454A7F"/>
    <w:rsid w:val="004565EA"/>
    <w:rsid w:val="00466F00"/>
    <w:rsid w:val="00476F5B"/>
    <w:rsid w:val="00477534"/>
    <w:rsid w:val="00477845"/>
    <w:rsid w:val="004810B5"/>
    <w:rsid w:val="00484027"/>
    <w:rsid w:val="0048540B"/>
    <w:rsid w:val="00487387"/>
    <w:rsid w:val="004879D8"/>
    <w:rsid w:val="00495A4A"/>
    <w:rsid w:val="00497C15"/>
    <w:rsid w:val="004A00E7"/>
    <w:rsid w:val="004A3375"/>
    <w:rsid w:val="004A3F05"/>
    <w:rsid w:val="004B1D47"/>
    <w:rsid w:val="004B3994"/>
    <w:rsid w:val="004B4A61"/>
    <w:rsid w:val="004C25DE"/>
    <w:rsid w:val="004C2E80"/>
    <w:rsid w:val="004C3D4C"/>
    <w:rsid w:val="004C7CE2"/>
    <w:rsid w:val="004D1E4C"/>
    <w:rsid w:val="004E0333"/>
    <w:rsid w:val="004E70F7"/>
    <w:rsid w:val="004F0EB3"/>
    <w:rsid w:val="004F71FD"/>
    <w:rsid w:val="0050292B"/>
    <w:rsid w:val="00502B7B"/>
    <w:rsid w:val="005043FB"/>
    <w:rsid w:val="0050574D"/>
    <w:rsid w:val="0050576B"/>
    <w:rsid w:val="00505F2C"/>
    <w:rsid w:val="005113EA"/>
    <w:rsid w:val="00517027"/>
    <w:rsid w:val="0052254C"/>
    <w:rsid w:val="005239EE"/>
    <w:rsid w:val="00526833"/>
    <w:rsid w:val="00527CAC"/>
    <w:rsid w:val="00531D6F"/>
    <w:rsid w:val="00531ED7"/>
    <w:rsid w:val="0054033A"/>
    <w:rsid w:val="005417E8"/>
    <w:rsid w:val="00543B42"/>
    <w:rsid w:val="00550A5B"/>
    <w:rsid w:val="00551DBE"/>
    <w:rsid w:val="00552586"/>
    <w:rsid w:val="00554278"/>
    <w:rsid w:val="00555D32"/>
    <w:rsid w:val="005568CF"/>
    <w:rsid w:val="00556EEB"/>
    <w:rsid w:val="00557281"/>
    <w:rsid w:val="00557FF8"/>
    <w:rsid w:val="0056514E"/>
    <w:rsid w:val="005655D8"/>
    <w:rsid w:val="00565C68"/>
    <w:rsid w:val="005677B7"/>
    <w:rsid w:val="00567BAC"/>
    <w:rsid w:val="00567CFD"/>
    <w:rsid w:val="0057344C"/>
    <w:rsid w:val="00573AC3"/>
    <w:rsid w:val="005757DB"/>
    <w:rsid w:val="005802B9"/>
    <w:rsid w:val="005806AF"/>
    <w:rsid w:val="00580A0D"/>
    <w:rsid w:val="005837AD"/>
    <w:rsid w:val="00586047"/>
    <w:rsid w:val="005868E6"/>
    <w:rsid w:val="00587BCD"/>
    <w:rsid w:val="00592EB1"/>
    <w:rsid w:val="00593638"/>
    <w:rsid w:val="00593C3D"/>
    <w:rsid w:val="005961DB"/>
    <w:rsid w:val="00597F94"/>
    <w:rsid w:val="005A18C2"/>
    <w:rsid w:val="005A4CE7"/>
    <w:rsid w:val="005A5C62"/>
    <w:rsid w:val="005B00BD"/>
    <w:rsid w:val="005B78B4"/>
    <w:rsid w:val="005C3588"/>
    <w:rsid w:val="005C7C63"/>
    <w:rsid w:val="005D10A5"/>
    <w:rsid w:val="005D23D0"/>
    <w:rsid w:val="005D45CD"/>
    <w:rsid w:val="005D4F54"/>
    <w:rsid w:val="005D5535"/>
    <w:rsid w:val="005E1717"/>
    <w:rsid w:val="005E20C6"/>
    <w:rsid w:val="005E42C7"/>
    <w:rsid w:val="005E4F98"/>
    <w:rsid w:val="005E7E3D"/>
    <w:rsid w:val="005F07A7"/>
    <w:rsid w:val="005F3BEB"/>
    <w:rsid w:val="005F4256"/>
    <w:rsid w:val="005F5A7A"/>
    <w:rsid w:val="005F5D7B"/>
    <w:rsid w:val="0060298A"/>
    <w:rsid w:val="0060520E"/>
    <w:rsid w:val="00605B39"/>
    <w:rsid w:val="00606D6D"/>
    <w:rsid w:val="00613811"/>
    <w:rsid w:val="00617F05"/>
    <w:rsid w:val="00620B52"/>
    <w:rsid w:val="0062278B"/>
    <w:rsid w:val="00626952"/>
    <w:rsid w:val="0063215C"/>
    <w:rsid w:val="00637732"/>
    <w:rsid w:val="00641982"/>
    <w:rsid w:val="006419C8"/>
    <w:rsid w:val="006428A1"/>
    <w:rsid w:val="0064391F"/>
    <w:rsid w:val="0064532D"/>
    <w:rsid w:val="0064568F"/>
    <w:rsid w:val="00653245"/>
    <w:rsid w:val="00653760"/>
    <w:rsid w:val="00653B51"/>
    <w:rsid w:val="00662C8A"/>
    <w:rsid w:val="00663C20"/>
    <w:rsid w:val="006657AC"/>
    <w:rsid w:val="00666BA2"/>
    <w:rsid w:val="00670665"/>
    <w:rsid w:val="00670B5A"/>
    <w:rsid w:val="006718D4"/>
    <w:rsid w:val="006733E0"/>
    <w:rsid w:val="00676CF6"/>
    <w:rsid w:val="0067744C"/>
    <w:rsid w:val="006812CB"/>
    <w:rsid w:val="0068413A"/>
    <w:rsid w:val="006851CC"/>
    <w:rsid w:val="006855EB"/>
    <w:rsid w:val="00686D4E"/>
    <w:rsid w:val="0069653B"/>
    <w:rsid w:val="00696CAC"/>
    <w:rsid w:val="00697045"/>
    <w:rsid w:val="006A0A28"/>
    <w:rsid w:val="006A5CF6"/>
    <w:rsid w:val="006B0341"/>
    <w:rsid w:val="006B230D"/>
    <w:rsid w:val="006B50B5"/>
    <w:rsid w:val="006B529A"/>
    <w:rsid w:val="006B6D00"/>
    <w:rsid w:val="006C0C4C"/>
    <w:rsid w:val="006C170A"/>
    <w:rsid w:val="006C1D89"/>
    <w:rsid w:val="006C1E11"/>
    <w:rsid w:val="006C2408"/>
    <w:rsid w:val="006C4D81"/>
    <w:rsid w:val="006D3D99"/>
    <w:rsid w:val="006D6A90"/>
    <w:rsid w:val="006E071D"/>
    <w:rsid w:val="006E4550"/>
    <w:rsid w:val="006E6B33"/>
    <w:rsid w:val="006F0745"/>
    <w:rsid w:val="006F4EB5"/>
    <w:rsid w:val="006F5345"/>
    <w:rsid w:val="006F7810"/>
    <w:rsid w:val="00703F27"/>
    <w:rsid w:val="00705EEF"/>
    <w:rsid w:val="00711CA2"/>
    <w:rsid w:val="00712547"/>
    <w:rsid w:val="00713F61"/>
    <w:rsid w:val="007151BF"/>
    <w:rsid w:val="007203F7"/>
    <w:rsid w:val="007221EF"/>
    <w:rsid w:val="0072329E"/>
    <w:rsid w:val="00726C71"/>
    <w:rsid w:val="0072743F"/>
    <w:rsid w:val="007326BB"/>
    <w:rsid w:val="007326E1"/>
    <w:rsid w:val="007326F2"/>
    <w:rsid w:val="00736ADD"/>
    <w:rsid w:val="007423B6"/>
    <w:rsid w:val="007457E5"/>
    <w:rsid w:val="007472CE"/>
    <w:rsid w:val="00751FC6"/>
    <w:rsid w:val="00751FF0"/>
    <w:rsid w:val="00752182"/>
    <w:rsid w:val="007521EC"/>
    <w:rsid w:val="007540B2"/>
    <w:rsid w:val="00755310"/>
    <w:rsid w:val="00762ED6"/>
    <w:rsid w:val="00763F0B"/>
    <w:rsid w:val="00764FA4"/>
    <w:rsid w:val="00765429"/>
    <w:rsid w:val="00766D88"/>
    <w:rsid w:val="00770785"/>
    <w:rsid w:val="00770EDF"/>
    <w:rsid w:val="007733A2"/>
    <w:rsid w:val="007749ED"/>
    <w:rsid w:val="00776A13"/>
    <w:rsid w:val="00780D73"/>
    <w:rsid w:val="00791205"/>
    <w:rsid w:val="00791212"/>
    <w:rsid w:val="007913CA"/>
    <w:rsid w:val="00791F77"/>
    <w:rsid w:val="0079337B"/>
    <w:rsid w:val="00794880"/>
    <w:rsid w:val="00795579"/>
    <w:rsid w:val="0079653D"/>
    <w:rsid w:val="007967A4"/>
    <w:rsid w:val="00796C2E"/>
    <w:rsid w:val="007A2B7A"/>
    <w:rsid w:val="007A4700"/>
    <w:rsid w:val="007A4C9D"/>
    <w:rsid w:val="007A504A"/>
    <w:rsid w:val="007A5FCD"/>
    <w:rsid w:val="007A7FDF"/>
    <w:rsid w:val="007B4F1C"/>
    <w:rsid w:val="007B54ED"/>
    <w:rsid w:val="007B56A3"/>
    <w:rsid w:val="007B5707"/>
    <w:rsid w:val="007B57A6"/>
    <w:rsid w:val="007C1B79"/>
    <w:rsid w:val="007C1FF6"/>
    <w:rsid w:val="007D2A71"/>
    <w:rsid w:val="007E0D80"/>
    <w:rsid w:val="007E2C0A"/>
    <w:rsid w:val="007E4B52"/>
    <w:rsid w:val="007E4D97"/>
    <w:rsid w:val="007E5A1B"/>
    <w:rsid w:val="007E6DA7"/>
    <w:rsid w:val="007F10AC"/>
    <w:rsid w:val="007F1A70"/>
    <w:rsid w:val="007F452E"/>
    <w:rsid w:val="007F5DBC"/>
    <w:rsid w:val="008010B2"/>
    <w:rsid w:val="008040F8"/>
    <w:rsid w:val="00813020"/>
    <w:rsid w:val="008140B1"/>
    <w:rsid w:val="00817053"/>
    <w:rsid w:val="008171EE"/>
    <w:rsid w:val="00820821"/>
    <w:rsid w:val="00824BC1"/>
    <w:rsid w:val="00825576"/>
    <w:rsid w:val="0082594B"/>
    <w:rsid w:val="0083108B"/>
    <w:rsid w:val="0083125B"/>
    <w:rsid w:val="008345E3"/>
    <w:rsid w:val="00835E99"/>
    <w:rsid w:val="0084006F"/>
    <w:rsid w:val="008400E9"/>
    <w:rsid w:val="00844E61"/>
    <w:rsid w:val="00851212"/>
    <w:rsid w:val="00853953"/>
    <w:rsid w:val="008544CF"/>
    <w:rsid w:val="00861489"/>
    <w:rsid w:val="00861D5A"/>
    <w:rsid w:val="00863043"/>
    <w:rsid w:val="00872162"/>
    <w:rsid w:val="008752E2"/>
    <w:rsid w:val="00880627"/>
    <w:rsid w:val="008826CC"/>
    <w:rsid w:val="008913D5"/>
    <w:rsid w:val="00894AD8"/>
    <w:rsid w:val="00895707"/>
    <w:rsid w:val="008A0388"/>
    <w:rsid w:val="008A1126"/>
    <w:rsid w:val="008A156B"/>
    <w:rsid w:val="008B1B2B"/>
    <w:rsid w:val="008B5934"/>
    <w:rsid w:val="008C13A6"/>
    <w:rsid w:val="008C3AF5"/>
    <w:rsid w:val="008C3B74"/>
    <w:rsid w:val="008C403D"/>
    <w:rsid w:val="008D0DAE"/>
    <w:rsid w:val="008E1F24"/>
    <w:rsid w:val="008E2C44"/>
    <w:rsid w:val="008E5286"/>
    <w:rsid w:val="008E66EC"/>
    <w:rsid w:val="008E6AAC"/>
    <w:rsid w:val="008E6EFA"/>
    <w:rsid w:val="008F622E"/>
    <w:rsid w:val="00901C1D"/>
    <w:rsid w:val="00905148"/>
    <w:rsid w:val="0090549E"/>
    <w:rsid w:val="00907FF9"/>
    <w:rsid w:val="009119B5"/>
    <w:rsid w:val="009130F4"/>
    <w:rsid w:val="009176E8"/>
    <w:rsid w:val="00920C37"/>
    <w:rsid w:val="00926064"/>
    <w:rsid w:val="0092748D"/>
    <w:rsid w:val="00931931"/>
    <w:rsid w:val="0093285B"/>
    <w:rsid w:val="0093357F"/>
    <w:rsid w:val="009373E0"/>
    <w:rsid w:val="00937B7D"/>
    <w:rsid w:val="00944348"/>
    <w:rsid w:val="00946849"/>
    <w:rsid w:val="0095270D"/>
    <w:rsid w:val="00952CBA"/>
    <w:rsid w:val="00955E83"/>
    <w:rsid w:val="00960907"/>
    <w:rsid w:val="00961707"/>
    <w:rsid w:val="009618B0"/>
    <w:rsid w:val="0096195A"/>
    <w:rsid w:val="009637B0"/>
    <w:rsid w:val="00971645"/>
    <w:rsid w:val="0097250C"/>
    <w:rsid w:val="009732A5"/>
    <w:rsid w:val="009756F4"/>
    <w:rsid w:val="00977822"/>
    <w:rsid w:val="00984ED9"/>
    <w:rsid w:val="00987D24"/>
    <w:rsid w:val="00987D3F"/>
    <w:rsid w:val="0099093A"/>
    <w:rsid w:val="00991B1C"/>
    <w:rsid w:val="00993D72"/>
    <w:rsid w:val="00995AA4"/>
    <w:rsid w:val="009A0A62"/>
    <w:rsid w:val="009A26A6"/>
    <w:rsid w:val="009A753B"/>
    <w:rsid w:val="009B2F80"/>
    <w:rsid w:val="009B32BD"/>
    <w:rsid w:val="009B65FE"/>
    <w:rsid w:val="009C30D4"/>
    <w:rsid w:val="009C534B"/>
    <w:rsid w:val="009C7C6B"/>
    <w:rsid w:val="009D010D"/>
    <w:rsid w:val="009D1236"/>
    <w:rsid w:val="009D219A"/>
    <w:rsid w:val="009D5989"/>
    <w:rsid w:val="009E3976"/>
    <w:rsid w:val="009E6C42"/>
    <w:rsid w:val="009E7944"/>
    <w:rsid w:val="009F000D"/>
    <w:rsid w:val="009F10F3"/>
    <w:rsid w:val="009F11E9"/>
    <w:rsid w:val="009F12D9"/>
    <w:rsid w:val="009F2716"/>
    <w:rsid w:val="009F3103"/>
    <w:rsid w:val="009F50A7"/>
    <w:rsid w:val="009F5A50"/>
    <w:rsid w:val="009F7981"/>
    <w:rsid w:val="009F7C9F"/>
    <w:rsid w:val="00A01A70"/>
    <w:rsid w:val="00A02632"/>
    <w:rsid w:val="00A10775"/>
    <w:rsid w:val="00A112DC"/>
    <w:rsid w:val="00A11822"/>
    <w:rsid w:val="00A12F5A"/>
    <w:rsid w:val="00A2173C"/>
    <w:rsid w:val="00A25921"/>
    <w:rsid w:val="00A30F7B"/>
    <w:rsid w:val="00A318DE"/>
    <w:rsid w:val="00A31902"/>
    <w:rsid w:val="00A33D96"/>
    <w:rsid w:val="00A40970"/>
    <w:rsid w:val="00A41647"/>
    <w:rsid w:val="00A41C76"/>
    <w:rsid w:val="00A432BF"/>
    <w:rsid w:val="00A46B0F"/>
    <w:rsid w:val="00A46F5B"/>
    <w:rsid w:val="00A50846"/>
    <w:rsid w:val="00A51798"/>
    <w:rsid w:val="00A5656F"/>
    <w:rsid w:val="00A604CD"/>
    <w:rsid w:val="00A62081"/>
    <w:rsid w:val="00A6230A"/>
    <w:rsid w:val="00A63DFC"/>
    <w:rsid w:val="00A66A9B"/>
    <w:rsid w:val="00A67339"/>
    <w:rsid w:val="00A70771"/>
    <w:rsid w:val="00A71E7D"/>
    <w:rsid w:val="00A7397C"/>
    <w:rsid w:val="00A7723C"/>
    <w:rsid w:val="00A80970"/>
    <w:rsid w:val="00A83C2B"/>
    <w:rsid w:val="00A910D6"/>
    <w:rsid w:val="00A93147"/>
    <w:rsid w:val="00A961D2"/>
    <w:rsid w:val="00A96B87"/>
    <w:rsid w:val="00AA4721"/>
    <w:rsid w:val="00AA4AFC"/>
    <w:rsid w:val="00AA4DC0"/>
    <w:rsid w:val="00AA7B7A"/>
    <w:rsid w:val="00AB0768"/>
    <w:rsid w:val="00AB2D1B"/>
    <w:rsid w:val="00AB3FCF"/>
    <w:rsid w:val="00AB4DCF"/>
    <w:rsid w:val="00AB4F49"/>
    <w:rsid w:val="00AB519A"/>
    <w:rsid w:val="00AC023A"/>
    <w:rsid w:val="00AC09FE"/>
    <w:rsid w:val="00AC2FA1"/>
    <w:rsid w:val="00AC7377"/>
    <w:rsid w:val="00AD0E00"/>
    <w:rsid w:val="00AD1F5A"/>
    <w:rsid w:val="00AD5324"/>
    <w:rsid w:val="00AD62B3"/>
    <w:rsid w:val="00AE2A66"/>
    <w:rsid w:val="00AE641D"/>
    <w:rsid w:val="00AE7492"/>
    <w:rsid w:val="00AF0788"/>
    <w:rsid w:val="00AF46CC"/>
    <w:rsid w:val="00AF5934"/>
    <w:rsid w:val="00B00AA1"/>
    <w:rsid w:val="00B031C1"/>
    <w:rsid w:val="00B17830"/>
    <w:rsid w:val="00B207B1"/>
    <w:rsid w:val="00B234FF"/>
    <w:rsid w:val="00B247D1"/>
    <w:rsid w:val="00B24F2A"/>
    <w:rsid w:val="00B25930"/>
    <w:rsid w:val="00B25974"/>
    <w:rsid w:val="00B35304"/>
    <w:rsid w:val="00B3635E"/>
    <w:rsid w:val="00B43C8F"/>
    <w:rsid w:val="00B44C8D"/>
    <w:rsid w:val="00B55CCA"/>
    <w:rsid w:val="00B57B12"/>
    <w:rsid w:val="00B6110A"/>
    <w:rsid w:val="00B62226"/>
    <w:rsid w:val="00B62AF8"/>
    <w:rsid w:val="00B6687C"/>
    <w:rsid w:val="00B6763F"/>
    <w:rsid w:val="00B70838"/>
    <w:rsid w:val="00B72285"/>
    <w:rsid w:val="00B829E1"/>
    <w:rsid w:val="00B847E4"/>
    <w:rsid w:val="00B85E02"/>
    <w:rsid w:val="00B909B3"/>
    <w:rsid w:val="00B923D3"/>
    <w:rsid w:val="00B932BB"/>
    <w:rsid w:val="00B972DD"/>
    <w:rsid w:val="00BA0125"/>
    <w:rsid w:val="00BA03E2"/>
    <w:rsid w:val="00BA12C6"/>
    <w:rsid w:val="00BA27B4"/>
    <w:rsid w:val="00BA3DE3"/>
    <w:rsid w:val="00BA483E"/>
    <w:rsid w:val="00BA5158"/>
    <w:rsid w:val="00BA52DF"/>
    <w:rsid w:val="00BA6FC4"/>
    <w:rsid w:val="00BB2238"/>
    <w:rsid w:val="00BB2BAA"/>
    <w:rsid w:val="00BB3072"/>
    <w:rsid w:val="00BB31FF"/>
    <w:rsid w:val="00BB450C"/>
    <w:rsid w:val="00BB4D5A"/>
    <w:rsid w:val="00BC11BA"/>
    <w:rsid w:val="00BC17B0"/>
    <w:rsid w:val="00BC46AD"/>
    <w:rsid w:val="00BC5886"/>
    <w:rsid w:val="00BC6739"/>
    <w:rsid w:val="00BC67FE"/>
    <w:rsid w:val="00BC6CEA"/>
    <w:rsid w:val="00BD1028"/>
    <w:rsid w:val="00BD20EC"/>
    <w:rsid w:val="00BD2ED6"/>
    <w:rsid w:val="00BD452C"/>
    <w:rsid w:val="00BD5A8D"/>
    <w:rsid w:val="00BE23B9"/>
    <w:rsid w:val="00BE6CCB"/>
    <w:rsid w:val="00BF20E2"/>
    <w:rsid w:val="00BF235E"/>
    <w:rsid w:val="00BF3EB1"/>
    <w:rsid w:val="00BF53E3"/>
    <w:rsid w:val="00BF5479"/>
    <w:rsid w:val="00C03472"/>
    <w:rsid w:val="00C13D95"/>
    <w:rsid w:val="00C14543"/>
    <w:rsid w:val="00C15A50"/>
    <w:rsid w:val="00C17D1B"/>
    <w:rsid w:val="00C20007"/>
    <w:rsid w:val="00C2123B"/>
    <w:rsid w:val="00C2129A"/>
    <w:rsid w:val="00C21415"/>
    <w:rsid w:val="00C25130"/>
    <w:rsid w:val="00C33139"/>
    <w:rsid w:val="00C33145"/>
    <w:rsid w:val="00C3434F"/>
    <w:rsid w:val="00C35CA0"/>
    <w:rsid w:val="00C37386"/>
    <w:rsid w:val="00C463DF"/>
    <w:rsid w:val="00C46EAE"/>
    <w:rsid w:val="00C50D9F"/>
    <w:rsid w:val="00C5225F"/>
    <w:rsid w:val="00C56027"/>
    <w:rsid w:val="00C57434"/>
    <w:rsid w:val="00C61550"/>
    <w:rsid w:val="00C6297D"/>
    <w:rsid w:val="00C66D0B"/>
    <w:rsid w:val="00C70B41"/>
    <w:rsid w:val="00C711B0"/>
    <w:rsid w:val="00C74B8B"/>
    <w:rsid w:val="00C759EB"/>
    <w:rsid w:val="00C7724B"/>
    <w:rsid w:val="00C82E4A"/>
    <w:rsid w:val="00C91B94"/>
    <w:rsid w:val="00C971A2"/>
    <w:rsid w:val="00CA487C"/>
    <w:rsid w:val="00CB0D31"/>
    <w:rsid w:val="00CB1515"/>
    <w:rsid w:val="00CB16EC"/>
    <w:rsid w:val="00CB34B4"/>
    <w:rsid w:val="00CC1CDF"/>
    <w:rsid w:val="00CC346F"/>
    <w:rsid w:val="00CC508A"/>
    <w:rsid w:val="00CD0018"/>
    <w:rsid w:val="00CD053B"/>
    <w:rsid w:val="00CD3592"/>
    <w:rsid w:val="00CE202F"/>
    <w:rsid w:val="00CE30F6"/>
    <w:rsid w:val="00CE779A"/>
    <w:rsid w:val="00CF106E"/>
    <w:rsid w:val="00CF2E3B"/>
    <w:rsid w:val="00CF3449"/>
    <w:rsid w:val="00CF4071"/>
    <w:rsid w:val="00CF5181"/>
    <w:rsid w:val="00D03C9F"/>
    <w:rsid w:val="00D05014"/>
    <w:rsid w:val="00D07325"/>
    <w:rsid w:val="00D24E94"/>
    <w:rsid w:val="00D25C57"/>
    <w:rsid w:val="00D268A6"/>
    <w:rsid w:val="00D26996"/>
    <w:rsid w:val="00D27AF6"/>
    <w:rsid w:val="00D3065B"/>
    <w:rsid w:val="00D3321A"/>
    <w:rsid w:val="00D3425E"/>
    <w:rsid w:val="00D3509C"/>
    <w:rsid w:val="00D35A82"/>
    <w:rsid w:val="00D37008"/>
    <w:rsid w:val="00D41FF1"/>
    <w:rsid w:val="00D4386C"/>
    <w:rsid w:val="00D507D8"/>
    <w:rsid w:val="00D52118"/>
    <w:rsid w:val="00D52209"/>
    <w:rsid w:val="00D564C1"/>
    <w:rsid w:val="00D56ACB"/>
    <w:rsid w:val="00D606C8"/>
    <w:rsid w:val="00D62732"/>
    <w:rsid w:val="00D64A64"/>
    <w:rsid w:val="00D70207"/>
    <w:rsid w:val="00D71830"/>
    <w:rsid w:val="00D748F3"/>
    <w:rsid w:val="00D8050E"/>
    <w:rsid w:val="00D8098C"/>
    <w:rsid w:val="00D815D3"/>
    <w:rsid w:val="00D84EF8"/>
    <w:rsid w:val="00D87742"/>
    <w:rsid w:val="00D90F13"/>
    <w:rsid w:val="00D96477"/>
    <w:rsid w:val="00DA08B0"/>
    <w:rsid w:val="00DA401E"/>
    <w:rsid w:val="00DA60E3"/>
    <w:rsid w:val="00DA6BC0"/>
    <w:rsid w:val="00DB111A"/>
    <w:rsid w:val="00DB2307"/>
    <w:rsid w:val="00DB3FDA"/>
    <w:rsid w:val="00DC1F56"/>
    <w:rsid w:val="00DC422C"/>
    <w:rsid w:val="00DC4EFF"/>
    <w:rsid w:val="00DC5AB1"/>
    <w:rsid w:val="00DC6A33"/>
    <w:rsid w:val="00DE0942"/>
    <w:rsid w:val="00DE0C7D"/>
    <w:rsid w:val="00DE187C"/>
    <w:rsid w:val="00DE348F"/>
    <w:rsid w:val="00DE4EA8"/>
    <w:rsid w:val="00DE56BC"/>
    <w:rsid w:val="00DE7971"/>
    <w:rsid w:val="00DF25F1"/>
    <w:rsid w:val="00DF3DFD"/>
    <w:rsid w:val="00DF4F0B"/>
    <w:rsid w:val="00DF5E5B"/>
    <w:rsid w:val="00DF78CC"/>
    <w:rsid w:val="00DF7DBF"/>
    <w:rsid w:val="00E03C59"/>
    <w:rsid w:val="00E04556"/>
    <w:rsid w:val="00E06AA4"/>
    <w:rsid w:val="00E16759"/>
    <w:rsid w:val="00E16C24"/>
    <w:rsid w:val="00E202F5"/>
    <w:rsid w:val="00E20866"/>
    <w:rsid w:val="00E23948"/>
    <w:rsid w:val="00E254E0"/>
    <w:rsid w:val="00E2700F"/>
    <w:rsid w:val="00E27E1C"/>
    <w:rsid w:val="00E306EA"/>
    <w:rsid w:val="00E3158F"/>
    <w:rsid w:val="00E327B6"/>
    <w:rsid w:val="00E3575A"/>
    <w:rsid w:val="00E40AE5"/>
    <w:rsid w:val="00E43BC2"/>
    <w:rsid w:val="00E50C17"/>
    <w:rsid w:val="00E52CD9"/>
    <w:rsid w:val="00E54985"/>
    <w:rsid w:val="00E57A99"/>
    <w:rsid w:val="00E60FAC"/>
    <w:rsid w:val="00E61297"/>
    <w:rsid w:val="00E65005"/>
    <w:rsid w:val="00E674F2"/>
    <w:rsid w:val="00E726CB"/>
    <w:rsid w:val="00E81279"/>
    <w:rsid w:val="00E84C04"/>
    <w:rsid w:val="00E86283"/>
    <w:rsid w:val="00E86A31"/>
    <w:rsid w:val="00E91272"/>
    <w:rsid w:val="00E9202D"/>
    <w:rsid w:val="00E9474D"/>
    <w:rsid w:val="00EA2CB5"/>
    <w:rsid w:val="00EA3FD6"/>
    <w:rsid w:val="00EA5649"/>
    <w:rsid w:val="00EA74F7"/>
    <w:rsid w:val="00EB3974"/>
    <w:rsid w:val="00EB3C6F"/>
    <w:rsid w:val="00EB4879"/>
    <w:rsid w:val="00EB55C5"/>
    <w:rsid w:val="00EB7097"/>
    <w:rsid w:val="00EC33B8"/>
    <w:rsid w:val="00EC3DA5"/>
    <w:rsid w:val="00EC4F44"/>
    <w:rsid w:val="00ED12B7"/>
    <w:rsid w:val="00ED1851"/>
    <w:rsid w:val="00ED6912"/>
    <w:rsid w:val="00ED6C0A"/>
    <w:rsid w:val="00ED7296"/>
    <w:rsid w:val="00ED78B2"/>
    <w:rsid w:val="00ED7E3C"/>
    <w:rsid w:val="00EE1458"/>
    <w:rsid w:val="00EE1AE2"/>
    <w:rsid w:val="00EE565D"/>
    <w:rsid w:val="00EF0640"/>
    <w:rsid w:val="00EF7563"/>
    <w:rsid w:val="00F06D50"/>
    <w:rsid w:val="00F06E9B"/>
    <w:rsid w:val="00F07670"/>
    <w:rsid w:val="00F1486B"/>
    <w:rsid w:val="00F217AF"/>
    <w:rsid w:val="00F23A8A"/>
    <w:rsid w:val="00F247A9"/>
    <w:rsid w:val="00F248F5"/>
    <w:rsid w:val="00F27135"/>
    <w:rsid w:val="00F3105E"/>
    <w:rsid w:val="00F3659E"/>
    <w:rsid w:val="00F36AEB"/>
    <w:rsid w:val="00F374AF"/>
    <w:rsid w:val="00F40890"/>
    <w:rsid w:val="00F43283"/>
    <w:rsid w:val="00F440D3"/>
    <w:rsid w:val="00F45AF2"/>
    <w:rsid w:val="00F45C91"/>
    <w:rsid w:val="00F464BE"/>
    <w:rsid w:val="00F510D1"/>
    <w:rsid w:val="00F61DA1"/>
    <w:rsid w:val="00F62329"/>
    <w:rsid w:val="00F62BB3"/>
    <w:rsid w:val="00F67062"/>
    <w:rsid w:val="00F71D3C"/>
    <w:rsid w:val="00F72B79"/>
    <w:rsid w:val="00F77861"/>
    <w:rsid w:val="00F80347"/>
    <w:rsid w:val="00F80E74"/>
    <w:rsid w:val="00F83CCB"/>
    <w:rsid w:val="00F87979"/>
    <w:rsid w:val="00F87CE9"/>
    <w:rsid w:val="00F91225"/>
    <w:rsid w:val="00F91BE6"/>
    <w:rsid w:val="00F91DE1"/>
    <w:rsid w:val="00F9218D"/>
    <w:rsid w:val="00F95477"/>
    <w:rsid w:val="00F961F0"/>
    <w:rsid w:val="00F9694F"/>
    <w:rsid w:val="00F9707C"/>
    <w:rsid w:val="00F979FD"/>
    <w:rsid w:val="00FA0479"/>
    <w:rsid w:val="00FA0721"/>
    <w:rsid w:val="00FA0AAB"/>
    <w:rsid w:val="00FA2C80"/>
    <w:rsid w:val="00FA3D1F"/>
    <w:rsid w:val="00FA4B2D"/>
    <w:rsid w:val="00FB16CB"/>
    <w:rsid w:val="00FB39BF"/>
    <w:rsid w:val="00FB3D90"/>
    <w:rsid w:val="00FB4AEC"/>
    <w:rsid w:val="00FB6C16"/>
    <w:rsid w:val="00FC0256"/>
    <w:rsid w:val="00FC5010"/>
    <w:rsid w:val="00FC5C9A"/>
    <w:rsid w:val="00FC6C41"/>
    <w:rsid w:val="00FC78D2"/>
    <w:rsid w:val="00FD0560"/>
    <w:rsid w:val="00FD0986"/>
    <w:rsid w:val="00FD2F2D"/>
    <w:rsid w:val="00FD3000"/>
    <w:rsid w:val="00FD3505"/>
    <w:rsid w:val="00FD4E25"/>
    <w:rsid w:val="00FD56E1"/>
    <w:rsid w:val="00FD7337"/>
    <w:rsid w:val="00FE228D"/>
    <w:rsid w:val="00FE3222"/>
    <w:rsid w:val="00FE5021"/>
    <w:rsid w:val="00FE5CEB"/>
    <w:rsid w:val="00FE65C1"/>
    <w:rsid w:val="00FE7B2E"/>
    <w:rsid w:val="00FF0710"/>
    <w:rsid w:val="00FF380F"/>
    <w:rsid w:val="00FF6B6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165BC582"/>
  <w15:chartTrackingRefBased/>
  <w15:docId w15:val="{9FC357E2-DA06-9445-8CDC-2E8CD9BA5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3AD9"/>
    <w:pPr>
      <w:tabs>
        <w:tab w:val="center" w:pos="4680"/>
        <w:tab w:val="right" w:pos="9360"/>
      </w:tabs>
    </w:pPr>
  </w:style>
  <w:style w:type="character" w:customStyle="1" w:styleId="HeaderChar">
    <w:name w:val="Header Char"/>
    <w:basedOn w:val="DefaultParagraphFont"/>
    <w:link w:val="Header"/>
    <w:uiPriority w:val="99"/>
    <w:rsid w:val="002C3AD9"/>
  </w:style>
  <w:style w:type="paragraph" w:styleId="Footer">
    <w:name w:val="footer"/>
    <w:basedOn w:val="Normal"/>
    <w:link w:val="FooterChar"/>
    <w:uiPriority w:val="99"/>
    <w:unhideWhenUsed/>
    <w:rsid w:val="002C3AD9"/>
    <w:pPr>
      <w:tabs>
        <w:tab w:val="center" w:pos="4680"/>
        <w:tab w:val="right" w:pos="9360"/>
      </w:tabs>
    </w:pPr>
  </w:style>
  <w:style w:type="character" w:customStyle="1" w:styleId="FooterChar">
    <w:name w:val="Footer Char"/>
    <w:basedOn w:val="DefaultParagraphFont"/>
    <w:link w:val="Footer"/>
    <w:uiPriority w:val="99"/>
    <w:rsid w:val="002C3AD9"/>
  </w:style>
  <w:style w:type="character" w:styleId="CommentReference">
    <w:name w:val="annotation reference"/>
    <w:basedOn w:val="DefaultParagraphFont"/>
    <w:uiPriority w:val="99"/>
    <w:semiHidden/>
    <w:unhideWhenUsed/>
    <w:rsid w:val="009373E0"/>
    <w:rPr>
      <w:sz w:val="16"/>
      <w:szCs w:val="16"/>
    </w:rPr>
  </w:style>
  <w:style w:type="table" w:styleId="TableGrid">
    <w:name w:val="Table Grid"/>
    <w:basedOn w:val="TableNormal"/>
    <w:uiPriority w:val="39"/>
    <w:rsid w:val="00F8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7CE9"/>
    <w:pPr>
      <w:ind w:left="720"/>
      <w:contextualSpacing/>
    </w:pPr>
  </w:style>
  <w:style w:type="paragraph" w:styleId="CommentText">
    <w:name w:val="annotation text"/>
    <w:basedOn w:val="Normal"/>
    <w:link w:val="CommentTextChar"/>
    <w:uiPriority w:val="99"/>
    <w:unhideWhenUsed/>
    <w:rsid w:val="00020F71"/>
    <w:rPr>
      <w:sz w:val="20"/>
      <w:szCs w:val="20"/>
    </w:rPr>
  </w:style>
  <w:style w:type="character" w:customStyle="1" w:styleId="CommentTextChar">
    <w:name w:val="Comment Text Char"/>
    <w:basedOn w:val="DefaultParagraphFont"/>
    <w:link w:val="CommentText"/>
    <w:uiPriority w:val="99"/>
    <w:rsid w:val="00020F71"/>
    <w:rPr>
      <w:sz w:val="20"/>
      <w:szCs w:val="20"/>
    </w:rPr>
  </w:style>
  <w:style w:type="paragraph" w:styleId="CommentSubject">
    <w:name w:val="annotation subject"/>
    <w:basedOn w:val="CommentText"/>
    <w:next w:val="CommentText"/>
    <w:link w:val="CommentSubjectChar"/>
    <w:uiPriority w:val="99"/>
    <w:semiHidden/>
    <w:unhideWhenUsed/>
    <w:rsid w:val="00020F71"/>
    <w:rPr>
      <w:b/>
      <w:bCs/>
    </w:rPr>
  </w:style>
  <w:style w:type="character" w:customStyle="1" w:styleId="CommentSubjectChar">
    <w:name w:val="Comment Subject Char"/>
    <w:basedOn w:val="CommentTextChar"/>
    <w:link w:val="CommentSubject"/>
    <w:uiPriority w:val="99"/>
    <w:semiHidden/>
    <w:rsid w:val="00020F71"/>
    <w:rPr>
      <w:b/>
      <w:bCs/>
      <w:sz w:val="20"/>
      <w:szCs w:val="20"/>
    </w:rPr>
  </w:style>
  <w:style w:type="character" w:styleId="Hyperlink">
    <w:name w:val="Hyperlink"/>
    <w:basedOn w:val="DefaultParagraphFont"/>
    <w:uiPriority w:val="99"/>
    <w:unhideWhenUsed/>
    <w:rsid w:val="00FF380F"/>
    <w:rPr>
      <w:color w:val="0563C1" w:themeColor="hyperlink"/>
      <w:u w:val="single"/>
    </w:rPr>
  </w:style>
  <w:style w:type="paragraph" w:styleId="NormalWeb">
    <w:name w:val="Normal (Web)"/>
    <w:basedOn w:val="Normal"/>
    <w:uiPriority w:val="99"/>
    <w:unhideWhenUsed/>
    <w:rsid w:val="00FF380F"/>
    <w:rPr>
      <w:rFonts w:eastAsia="Times New Roman"/>
    </w:rPr>
  </w:style>
  <w:style w:type="character" w:styleId="FollowedHyperlink">
    <w:name w:val="FollowedHyperlink"/>
    <w:basedOn w:val="DefaultParagraphFont"/>
    <w:uiPriority w:val="99"/>
    <w:semiHidden/>
    <w:unhideWhenUsed/>
    <w:rsid w:val="00FF380F"/>
    <w:rPr>
      <w:color w:val="954F72" w:themeColor="followedHyperlink"/>
      <w:u w:val="single"/>
    </w:rPr>
  </w:style>
  <w:style w:type="character" w:customStyle="1" w:styleId="slug-doi">
    <w:name w:val="slug-doi"/>
    <w:basedOn w:val="DefaultParagraphFont"/>
    <w:rsid w:val="00025B2E"/>
  </w:style>
  <w:style w:type="character" w:styleId="PageNumber">
    <w:name w:val="page number"/>
    <w:basedOn w:val="DefaultParagraphFont"/>
    <w:uiPriority w:val="99"/>
    <w:semiHidden/>
    <w:unhideWhenUsed/>
    <w:rsid w:val="00476F5B"/>
  </w:style>
  <w:style w:type="paragraph" w:styleId="FootnoteText">
    <w:name w:val="footnote text"/>
    <w:basedOn w:val="Normal"/>
    <w:link w:val="FootnoteTextChar"/>
    <w:uiPriority w:val="99"/>
    <w:semiHidden/>
    <w:unhideWhenUsed/>
    <w:rsid w:val="002539F1"/>
    <w:rPr>
      <w:sz w:val="20"/>
      <w:szCs w:val="20"/>
    </w:rPr>
  </w:style>
  <w:style w:type="character" w:customStyle="1" w:styleId="FootnoteTextChar">
    <w:name w:val="Footnote Text Char"/>
    <w:basedOn w:val="DefaultParagraphFont"/>
    <w:link w:val="FootnoteText"/>
    <w:uiPriority w:val="99"/>
    <w:semiHidden/>
    <w:rsid w:val="002539F1"/>
    <w:rPr>
      <w:sz w:val="20"/>
      <w:szCs w:val="20"/>
    </w:rPr>
  </w:style>
  <w:style w:type="character" w:styleId="FootnoteReference">
    <w:name w:val="footnote reference"/>
    <w:basedOn w:val="DefaultParagraphFont"/>
    <w:uiPriority w:val="99"/>
    <w:semiHidden/>
    <w:unhideWhenUsed/>
    <w:rsid w:val="002539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80665">
      <w:bodyDiv w:val="1"/>
      <w:marLeft w:val="0"/>
      <w:marRight w:val="0"/>
      <w:marTop w:val="0"/>
      <w:marBottom w:val="0"/>
      <w:divBdr>
        <w:top w:val="none" w:sz="0" w:space="0" w:color="auto"/>
        <w:left w:val="none" w:sz="0" w:space="0" w:color="auto"/>
        <w:bottom w:val="none" w:sz="0" w:space="0" w:color="auto"/>
        <w:right w:val="none" w:sz="0" w:space="0" w:color="auto"/>
      </w:divBdr>
    </w:div>
    <w:div w:id="491138778">
      <w:bodyDiv w:val="1"/>
      <w:marLeft w:val="0"/>
      <w:marRight w:val="0"/>
      <w:marTop w:val="0"/>
      <w:marBottom w:val="0"/>
      <w:divBdr>
        <w:top w:val="none" w:sz="0" w:space="0" w:color="auto"/>
        <w:left w:val="none" w:sz="0" w:space="0" w:color="auto"/>
        <w:bottom w:val="none" w:sz="0" w:space="0" w:color="auto"/>
        <w:right w:val="none" w:sz="0" w:space="0" w:color="auto"/>
      </w:divBdr>
    </w:div>
    <w:div w:id="183063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rworldindata.org/time-us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037/a0039254"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oi.org/10.1111/peps.12080" TargetMode="External"/><Relationship Id="rId4" Type="http://schemas.openxmlformats.org/officeDocument/2006/relationships/webSettings" Target="webSettings.xml"/><Relationship Id="rId9" Type="http://schemas.openxmlformats.org/officeDocument/2006/relationships/hyperlink" Target="https://doi.org/10.1037/1076-8998.12.3.20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706</Words>
  <Characters>4136</Characters>
  <Application>Microsoft Office Word</Application>
  <DocSecurity>0</DocSecurity>
  <Lines>63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Victoria Daniel</cp:lastModifiedBy>
  <cp:revision>5</cp:revision>
  <dcterms:created xsi:type="dcterms:W3CDTF">2022-11-17T17:29:00Z</dcterms:created>
  <dcterms:modified xsi:type="dcterms:W3CDTF">2022-11-22T16:31:00Z</dcterms:modified>
  <cp:category/>
</cp:coreProperties>
</file>